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E6B915" w14:textId="77777777" w:rsidR="00813529" w:rsidRPr="00813529" w:rsidRDefault="00813529" w:rsidP="00813529">
      <w:pPr>
        <w:jc w:val="center"/>
        <w:rPr>
          <w:b/>
          <w:bCs/>
          <w:sz w:val="36"/>
          <w:szCs w:val="36"/>
        </w:rPr>
      </w:pPr>
      <w:r w:rsidRPr="00813529">
        <w:rPr>
          <w:b/>
          <w:bCs/>
          <w:sz w:val="36"/>
          <w:szCs w:val="36"/>
        </w:rPr>
        <w:t>Student Study Worksheet: Legal Precedents</w:t>
      </w:r>
    </w:p>
    <w:p w14:paraId="055727CF" w14:textId="10FE4F44" w:rsidR="00813529" w:rsidRPr="00813529" w:rsidRDefault="00813529" w:rsidP="00813529">
      <w:pPr>
        <w:pStyle w:val="ListParagraph"/>
        <w:numPr>
          <w:ilvl w:val="0"/>
          <w:numId w:val="2"/>
        </w:numPr>
        <w:rPr>
          <w:b/>
          <w:bCs/>
        </w:rPr>
      </w:pPr>
      <w:r w:rsidRPr="00813529">
        <w:rPr>
          <w:b/>
          <w:bCs/>
        </w:rPr>
        <w:t>Brinegar v. United States, 338 U.S. 160 (1949)</w:t>
      </w:r>
    </w:p>
    <w:p w14:paraId="7B9EE71E" w14:textId="77777777" w:rsidR="00813529" w:rsidRPr="00813529" w:rsidRDefault="00813529" w:rsidP="00813529">
      <w:pPr>
        <w:pStyle w:val="ListParagraph"/>
      </w:pPr>
      <w:r w:rsidRPr="00813529">
        <w:rPr>
          <w:b/>
          <w:bCs/>
        </w:rPr>
        <w:t>Precedent:</w:t>
      </w:r>
      <w:r w:rsidRPr="00813529">
        <w:t xml:space="preserve"> Established the reasonableness test for warrantless searches. Officers can conduct searches even if not always factually correct, provided the search is reasonable under the Fourth Amendment.</w:t>
      </w:r>
    </w:p>
    <w:p w14:paraId="5ED2B665" w14:textId="77777777" w:rsidR="00813529" w:rsidRDefault="00813529" w:rsidP="00813529">
      <w:pPr>
        <w:pStyle w:val="ListParagraph"/>
        <w:rPr>
          <w:b/>
          <w:bCs/>
        </w:rPr>
      </w:pPr>
    </w:p>
    <w:p w14:paraId="1A156F93" w14:textId="2D4C2FCE" w:rsidR="00813529" w:rsidRPr="00813529" w:rsidRDefault="00813529" w:rsidP="00813529">
      <w:pPr>
        <w:pStyle w:val="ListParagraph"/>
        <w:numPr>
          <w:ilvl w:val="0"/>
          <w:numId w:val="2"/>
        </w:numPr>
        <w:rPr>
          <w:b/>
          <w:bCs/>
        </w:rPr>
      </w:pPr>
      <w:r w:rsidRPr="00813529">
        <w:rPr>
          <w:b/>
          <w:bCs/>
        </w:rPr>
        <w:t>Carroll v. United States, 267 U.S. 132 (1929)</w:t>
      </w:r>
    </w:p>
    <w:p w14:paraId="43660FAD" w14:textId="77777777" w:rsidR="00813529" w:rsidRPr="00813529" w:rsidRDefault="00813529" w:rsidP="00813529">
      <w:pPr>
        <w:pStyle w:val="ListParagraph"/>
      </w:pPr>
      <w:r w:rsidRPr="00813529">
        <w:rPr>
          <w:b/>
          <w:bCs/>
        </w:rPr>
        <w:t>Precedent:</w:t>
      </w:r>
      <w:r w:rsidRPr="00813529">
        <w:t xml:space="preserve"> Established the automobile exception, allowing officers to </w:t>
      </w:r>
      <w:proofErr w:type="gramStart"/>
      <w:r w:rsidRPr="00813529">
        <w:t>search</w:t>
      </w:r>
      <w:proofErr w:type="gramEnd"/>
      <w:r w:rsidRPr="00813529">
        <w:t xml:space="preserve"> a vehicle without a warrant if they have probable cause.</w:t>
      </w:r>
    </w:p>
    <w:p w14:paraId="26AD9C5A" w14:textId="77777777" w:rsidR="00813529" w:rsidRDefault="00813529" w:rsidP="00813529">
      <w:pPr>
        <w:pStyle w:val="ListParagraph"/>
        <w:rPr>
          <w:b/>
          <w:bCs/>
        </w:rPr>
      </w:pPr>
    </w:p>
    <w:p w14:paraId="3D743F4F" w14:textId="7EAF506F" w:rsidR="00813529" w:rsidRPr="00813529" w:rsidRDefault="00813529" w:rsidP="00813529">
      <w:pPr>
        <w:pStyle w:val="ListParagraph"/>
        <w:numPr>
          <w:ilvl w:val="0"/>
          <w:numId w:val="2"/>
        </w:numPr>
        <w:rPr>
          <w:b/>
          <w:bCs/>
        </w:rPr>
      </w:pPr>
      <w:r w:rsidRPr="00813529">
        <w:rPr>
          <w:b/>
          <w:bCs/>
        </w:rPr>
        <w:t>Beck v. Ohio, 379 U.S. 89 (1964)</w:t>
      </w:r>
    </w:p>
    <w:p w14:paraId="2FAD7CE9" w14:textId="77777777" w:rsidR="00813529" w:rsidRPr="00813529" w:rsidRDefault="00813529" w:rsidP="00813529">
      <w:pPr>
        <w:pStyle w:val="ListParagraph"/>
      </w:pPr>
      <w:r w:rsidRPr="00813529">
        <w:rPr>
          <w:b/>
          <w:bCs/>
        </w:rPr>
        <w:t>Precedent:</w:t>
      </w:r>
      <w:r w:rsidRPr="00813529">
        <w:t xml:space="preserve"> Unspecified information without supporting facts cannot be used to justify an arrest, and evidence obtained from such an arrest is inadmissible.</w:t>
      </w:r>
    </w:p>
    <w:p w14:paraId="4554D41B" w14:textId="77777777" w:rsidR="00813529" w:rsidRDefault="00813529" w:rsidP="00813529">
      <w:pPr>
        <w:pStyle w:val="ListParagraph"/>
        <w:rPr>
          <w:b/>
          <w:bCs/>
        </w:rPr>
      </w:pPr>
    </w:p>
    <w:p w14:paraId="2D9DCDDD" w14:textId="6D53DD11" w:rsidR="00813529" w:rsidRPr="00813529" w:rsidRDefault="00813529" w:rsidP="00813529">
      <w:pPr>
        <w:pStyle w:val="ListParagraph"/>
        <w:numPr>
          <w:ilvl w:val="0"/>
          <w:numId w:val="2"/>
        </w:numPr>
        <w:rPr>
          <w:b/>
          <w:bCs/>
        </w:rPr>
      </w:pPr>
      <w:r w:rsidRPr="00813529">
        <w:rPr>
          <w:b/>
          <w:bCs/>
        </w:rPr>
        <w:t>U.S. v. Sokolow, 490 U.S. 1 (1989)</w:t>
      </w:r>
    </w:p>
    <w:p w14:paraId="19EF5B3F" w14:textId="77777777" w:rsidR="00813529" w:rsidRPr="00813529" w:rsidRDefault="00813529" w:rsidP="00813529">
      <w:pPr>
        <w:pStyle w:val="ListParagraph"/>
      </w:pPr>
      <w:r w:rsidRPr="00813529">
        <w:rPr>
          <w:b/>
          <w:bCs/>
        </w:rPr>
        <w:t>Precedent:</w:t>
      </w:r>
      <w:r w:rsidRPr="00813529">
        <w:t xml:space="preserve"> Officers can detain individuals based on reasonable suspicion, a standard lower than probable cause, for brief investigatory stops.</w:t>
      </w:r>
    </w:p>
    <w:p w14:paraId="2CB06AA3" w14:textId="77777777" w:rsidR="00813529" w:rsidRDefault="00813529" w:rsidP="00813529">
      <w:pPr>
        <w:pStyle w:val="ListParagraph"/>
        <w:rPr>
          <w:b/>
          <w:bCs/>
        </w:rPr>
      </w:pPr>
    </w:p>
    <w:p w14:paraId="0E8C5010" w14:textId="6259DE42" w:rsidR="00813529" w:rsidRPr="00813529" w:rsidRDefault="00813529" w:rsidP="00813529">
      <w:pPr>
        <w:pStyle w:val="ListParagraph"/>
        <w:numPr>
          <w:ilvl w:val="0"/>
          <w:numId w:val="2"/>
        </w:numPr>
        <w:rPr>
          <w:b/>
          <w:bCs/>
        </w:rPr>
      </w:pPr>
      <w:r w:rsidRPr="00813529">
        <w:rPr>
          <w:b/>
          <w:bCs/>
        </w:rPr>
        <w:t>Florida v. Royer, 460 U.S. 491 (1983)</w:t>
      </w:r>
    </w:p>
    <w:p w14:paraId="37E836ED" w14:textId="77777777" w:rsidR="00813529" w:rsidRPr="00813529" w:rsidRDefault="00813529" w:rsidP="00813529">
      <w:pPr>
        <w:pStyle w:val="ListParagraph"/>
      </w:pPr>
      <w:r w:rsidRPr="00813529">
        <w:rPr>
          <w:b/>
          <w:bCs/>
        </w:rPr>
        <w:t>Precedent:</w:t>
      </w:r>
      <w:r w:rsidRPr="00813529">
        <w:t xml:space="preserve"> The detention of an individual without probable cause in a secure area invalidates consent to search. A profile alone is insufficient for a Terry stop.</w:t>
      </w:r>
    </w:p>
    <w:p w14:paraId="66FADD05" w14:textId="77777777" w:rsidR="00813529" w:rsidRDefault="00813529" w:rsidP="00813529">
      <w:pPr>
        <w:pStyle w:val="ListParagraph"/>
        <w:rPr>
          <w:b/>
          <w:bCs/>
        </w:rPr>
      </w:pPr>
    </w:p>
    <w:p w14:paraId="628FF604" w14:textId="06F7AED5" w:rsidR="00813529" w:rsidRPr="00813529" w:rsidRDefault="00813529" w:rsidP="00813529">
      <w:pPr>
        <w:pStyle w:val="ListParagraph"/>
        <w:numPr>
          <w:ilvl w:val="0"/>
          <w:numId w:val="2"/>
        </w:numPr>
        <w:rPr>
          <w:b/>
          <w:bCs/>
        </w:rPr>
      </w:pPr>
      <w:r w:rsidRPr="00813529">
        <w:rPr>
          <w:b/>
          <w:bCs/>
        </w:rPr>
        <w:t>Terry v. Ohio, 392 U.S. 1 (1968)</w:t>
      </w:r>
    </w:p>
    <w:p w14:paraId="47DDE213" w14:textId="77777777" w:rsidR="00813529" w:rsidRPr="00813529" w:rsidRDefault="00813529" w:rsidP="00813529">
      <w:pPr>
        <w:pStyle w:val="ListParagraph"/>
      </w:pPr>
      <w:r w:rsidRPr="00813529">
        <w:rPr>
          <w:b/>
          <w:bCs/>
        </w:rPr>
        <w:t>Precedent:</w:t>
      </w:r>
      <w:r w:rsidRPr="00813529">
        <w:t xml:space="preserve"> Established the "stop and frisk" rule, allowing police to conduct a limited search for weapons if there is reasonable suspicion that the person is involved in criminal activity.</w:t>
      </w:r>
    </w:p>
    <w:p w14:paraId="6A4B71E7" w14:textId="77777777" w:rsidR="00813529" w:rsidRDefault="00813529" w:rsidP="00813529">
      <w:pPr>
        <w:pStyle w:val="ListParagraph"/>
        <w:rPr>
          <w:b/>
          <w:bCs/>
        </w:rPr>
      </w:pPr>
    </w:p>
    <w:p w14:paraId="2636DEF3" w14:textId="40FDF922" w:rsidR="00813529" w:rsidRPr="00813529" w:rsidRDefault="00813529" w:rsidP="00813529">
      <w:pPr>
        <w:pStyle w:val="ListParagraph"/>
        <w:numPr>
          <w:ilvl w:val="0"/>
          <w:numId w:val="2"/>
        </w:numPr>
        <w:rPr>
          <w:b/>
          <w:bCs/>
        </w:rPr>
      </w:pPr>
      <w:r w:rsidRPr="00813529">
        <w:rPr>
          <w:b/>
          <w:bCs/>
        </w:rPr>
        <w:t xml:space="preserve"> U.S. v. Mendenhall, 446 U.S. 544 (1980)</w:t>
      </w:r>
    </w:p>
    <w:p w14:paraId="2213E745" w14:textId="77777777" w:rsidR="00813529" w:rsidRPr="00813529" w:rsidRDefault="00813529" w:rsidP="00813529">
      <w:pPr>
        <w:pStyle w:val="ListParagraph"/>
      </w:pPr>
      <w:r w:rsidRPr="00813529">
        <w:rPr>
          <w:b/>
          <w:bCs/>
        </w:rPr>
        <w:t>Precedent:</w:t>
      </w:r>
      <w:r w:rsidRPr="00813529">
        <w:t xml:space="preserve"> A consensual encounter occurs when a reasonable person would feel free to leave. Consent obtained under such circumstances is valid for searches.</w:t>
      </w:r>
    </w:p>
    <w:p w14:paraId="021BE5B7" w14:textId="77777777" w:rsidR="00813529" w:rsidRDefault="00813529" w:rsidP="00813529">
      <w:pPr>
        <w:pStyle w:val="ListParagraph"/>
        <w:rPr>
          <w:b/>
          <w:bCs/>
        </w:rPr>
      </w:pPr>
    </w:p>
    <w:p w14:paraId="709C177B" w14:textId="6B5DA1FA" w:rsidR="00813529" w:rsidRPr="00813529" w:rsidRDefault="00813529" w:rsidP="00813529">
      <w:pPr>
        <w:pStyle w:val="ListParagraph"/>
        <w:numPr>
          <w:ilvl w:val="0"/>
          <w:numId w:val="2"/>
        </w:numPr>
        <w:rPr>
          <w:b/>
          <w:bCs/>
        </w:rPr>
      </w:pPr>
      <w:r w:rsidRPr="00813529">
        <w:rPr>
          <w:b/>
          <w:bCs/>
        </w:rPr>
        <w:t>Dyar v. State, 125 SW3d 460 (Tex. Crim. App. 2003)</w:t>
      </w:r>
    </w:p>
    <w:p w14:paraId="2F3DCC96" w14:textId="77777777" w:rsidR="00813529" w:rsidRPr="00813529" w:rsidRDefault="00813529" w:rsidP="00813529">
      <w:pPr>
        <w:pStyle w:val="ListParagraph"/>
      </w:pPr>
      <w:r w:rsidRPr="00813529">
        <w:rPr>
          <w:b/>
          <w:bCs/>
        </w:rPr>
        <w:t>Precedent:</w:t>
      </w:r>
      <w:r w:rsidRPr="00813529">
        <w:t xml:space="preserve"> A hospital can be considered a "suspicious place" under certain circumstances, making warrantless arrests valid.</w:t>
      </w:r>
    </w:p>
    <w:p w14:paraId="4B253BF9" w14:textId="77777777" w:rsidR="00813529" w:rsidRDefault="00813529" w:rsidP="00813529">
      <w:pPr>
        <w:rPr>
          <w:b/>
          <w:bCs/>
        </w:rPr>
      </w:pPr>
    </w:p>
    <w:p w14:paraId="6E74E001" w14:textId="77777777" w:rsidR="00813529" w:rsidRDefault="00813529" w:rsidP="00813529">
      <w:pPr>
        <w:rPr>
          <w:b/>
          <w:bCs/>
        </w:rPr>
      </w:pPr>
    </w:p>
    <w:p w14:paraId="70DE568E" w14:textId="7EEBF18D" w:rsidR="00813529" w:rsidRPr="00813529" w:rsidRDefault="00813529" w:rsidP="00813529">
      <w:pPr>
        <w:pStyle w:val="ListParagraph"/>
        <w:numPr>
          <w:ilvl w:val="0"/>
          <w:numId w:val="2"/>
        </w:numPr>
        <w:rPr>
          <w:b/>
          <w:bCs/>
        </w:rPr>
      </w:pPr>
      <w:r w:rsidRPr="00813529">
        <w:rPr>
          <w:b/>
          <w:bCs/>
        </w:rPr>
        <w:lastRenderedPageBreak/>
        <w:t>Payton v. New York, 100 U.S. 1371 (1980)</w:t>
      </w:r>
    </w:p>
    <w:p w14:paraId="1CAB6B0B" w14:textId="77777777" w:rsidR="00813529" w:rsidRPr="00813529" w:rsidRDefault="00813529" w:rsidP="00813529">
      <w:pPr>
        <w:pStyle w:val="ListParagraph"/>
      </w:pPr>
      <w:r w:rsidRPr="00813529">
        <w:rPr>
          <w:b/>
          <w:bCs/>
        </w:rPr>
        <w:t>Precedent:</w:t>
      </w:r>
      <w:r w:rsidRPr="00813529">
        <w:t xml:space="preserve"> The Fourth Amendment prohibits warrantless entry into a home to make an arrest, except in exigent circumstances.</w:t>
      </w:r>
    </w:p>
    <w:p w14:paraId="09410EDF" w14:textId="77777777" w:rsidR="00272295" w:rsidRDefault="00813529" w:rsidP="00272295">
      <w:pPr>
        <w:pStyle w:val="ListParagraph"/>
        <w:rPr>
          <w:b/>
          <w:bCs/>
        </w:rPr>
      </w:pPr>
      <w:r w:rsidRPr="00813529">
        <w:rPr>
          <w:b/>
          <w:bCs/>
        </w:rPr>
        <w:t xml:space="preserve"> </w:t>
      </w:r>
    </w:p>
    <w:p w14:paraId="7736365F" w14:textId="5B9BF634" w:rsidR="00813529" w:rsidRPr="00813529" w:rsidRDefault="00813529" w:rsidP="00813529">
      <w:pPr>
        <w:pStyle w:val="ListParagraph"/>
        <w:numPr>
          <w:ilvl w:val="0"/>
          <w:numId w:val="2"/>
        </w:numPr>
        <w:rPr>
          <w:b/>
          <w:bCs/>
        </w:rPr>
      </w:pPr>
      <w:r w:rsidRPr="00813529">
        <w:rPr>
          <w:b/>
          <w:bCs/>
        </w:rPr>
        <w:t>Illinois v. Gates, 462 U.S. 23 (1983)</w:t>
      </w:r>
    </w:p>
    <w:p w14:paraId="75D0CF3F" w14:textId="77777777" w:rsidR="00813529" w:rsidRPr="00813529" w:rsidRDefault="00813529" w:rsidP="00813529">
      <w:pPr>
        <w:pStyle w:val="ListParagraph"/>
      </w:pPr>
      <w:r w:rsidRPr="00813529">
        <w:rPr>
          <w:b/>
          <w:bCs/>
        </w:rPr>
        <w:t>Precedent:</w:t>
      </w:r>
      <w:r w:rsidRPr="00813529">
        <w:t xml:space="preserve"> Established the "totality of circumstances" approach to determine whether an anonymous tip provides probable cause for a search warrant.</w:t>
      </w:r>
    </w:p>
    <w:p w14:paraId="11F7C2FD" w14:textId="77777777" w:rsidR="00272295" w:rsidRDefault="00272295" w:rsidP="00272295">
      <w:pPr>
        <w:pStyle w:val="ListParagraph"/>
        <w:rPr>
          <w:b/>
          <w:bCs/>
        </w:rPr>
      </w:pPr>
    </w:p>
    <w:p w14:paraId="66ABA416" w14:textId="1FE43CA8" w:rsidR="00813529" w:rsidRPr="00813529" w:rsidRDefault="00813529" w:rsidP="00813529">
      <w:pPr>
        <w:pStyle w:val="ListParagraph"/>
        <w:numPr>
          <w:ilvl w:val="0"/>
          <w:numId w:val="2"/>
        </w:numPr>
        <w:rPr>
          <w:b/>
          <w:bCs/>
        </w:rPr>
      </w:pPr>
      <w:r w:rsidRPr="00813529">
        <w:rPr>
          <w:b/>
          <w:bCs/>
        </w:rPr>
        <w:t>Miranda v. Arizona, 384 U.S. 436 (1966)</w:t>
      </w:r>
    </w:p>
    <w:p w14:paraId="61C2D81A" w14:textId="77777777" w:rsidR="00813529" w:rsidRPr="00813529" w:rsidRDefault="00813529" w:rsidP="00813529">
      <w:pPr>
        <w:pStyle w:val="ListParagraph"/>
      </w:pPr>
      <w:r w:rsidRPr="00813529">
        <w:rPr>
          <w:b/>
          <w:bCs/>
        </w:rPr>
        <w:t>Precedent:</w:t>
      </w:r>
      <w:r w:rsidRPr="00813529">
        <w:t xml:space="preserve"> Law enforcement must inform individuals of their rights (Miranda rights) before custodial interrogation.</w:t>
      </w:r>
    </w:p>
    <w:p w14:paraId="45291025" w14:textId="77777777" w:rsidR="00272295" w:rsidRDefault="00272295" w:rsidP="00272295">
      <w:pPr>
        <w:pStyle w:val="ListParagraph"/>
        <w:rPr>
          <w:b/>
          <w:bCs/>
        </w:rPr>
      </w:pPr>
    </w:p>
    <w:p w14:paraId="0AE93DCF" w14:textId="69002219" w:rsidR="00813529" w:rsidRPr="00813529" w:rsidRDefault="00813529" w:rsidP="00813529">
      <w:pPr>
        <w:pStyle w:val="ListParagraph"/>
        <w:numPr>
          <w:ilvl w:val="0"/>
          <w:numId w:val="2"/>
        </w:numPr>
        <w:rPr>
          <w:b/>
          <w:bCs/>
        </w:rPr>
      </w:pPr>
      <w:r w:rsidRPr="00813529">
        <w:rPr>
          <w:b/>
          <w:bCs/>
        </w:rPr>
        <w:t>Maryland v. Shatzer, 130 U.S. 1213 (2010)</w:t>
      </w:r>
    </w:p>
    <w:p w14:paraId="30F4D1F1" w14:textId="77777777" w:rsidR="00813529" w:rsidRPr="00813529" w:rsidRDefault="00813529" w:rsidP="00813529">
      <w:pPr>
        <w:pStyle w:val="ListParagraph"/>
      </w:pPr>
      <w:r w:rsidRPr="00813529">
        <w:rPr>
          <w:b/>
          <w:bCs/>
        </w:rPr>
        <w:t>Precedent:</w:t>
      </w:r>
      <w:r w:rsidRPr="00813529">
        <w:t xml:space="preserve"> Police can reinitiate questioning after a 14-day break following the invocation of the right to counsel during a Miranda interrogation.</w:t>
      </w:r>
    </w:p>
    <w:p w14:paraId="37ACD588" w14:textId="77777777" w:rsidR="00272295" w:rsidRDefault="00272295" w:rsidP="00272295">
      <w:pPr>
        <w:pStyle w:val="ListParagraph"/>
        <w:rPr>
          <w:b/>
          <w:bCs/>
        </w:rPr>
      </w:pPr>
    </w:p>
    <w:p w14:paraId="3B26D6AE" w14:textId="535D26F8" w:rsidR="00813529" w:rsidRPr="00813529" w:rsidRDefault="00813529" w:rsidP="00813529">
      <w:pPr>
        <w:pStyle w:val="ListParagraph"/>
        <w:numPr>
          <w:ilvl w:val="0"/>
          <w:numId w:val="2"/>
        </w:numPr>
        <w:rPr>
          <w:b/>
          <w:bCs/>
        </w:rPr>
      </w:pPr>
      <w:proofErr w:type="spellStart"/>
      <w:r w:rsidRPr="00813529">
        <w:rPr>
          <w:b/>
          <w:bCs/>
        </w:rPr>
        <w:t>Steagald</w:t>
      </w:r>
      <w:proofErr w:type="spellEnd"/>
      <w:r w:rsidRPr="00813529">
        <w:rPr>
          <w:b/>
          <w:bCs/>
        </w:rPr>
        <w:t xml:space="preserve"> v. United States, 451 U.S. 204 (1981)</w:t>
      </w:r>
    </w:p>
    <w:p w14:paraId="5C0699AA" w14:textId="77777777" w:rsidR="00813529" w:rsidRPr="00813529" w:rsidRDefault="00813529" w:rsidP="00813529">
      <w:pPr>
        <w:pStyle w:val="ListParagraph"/>
      </w:pPr>
      <w:r w:rsidRPr="00813529">
        <w:rPr>
          <w:b/>
          <w:bCs/>
        </w:rPr>
        <w:t>Precedent:</w:t>
      </w:r>
      <w:r w:rsidRPr="00813529">
        <w:t xml:space="preserve"> An arrest warrant does not authorize entry into a third party's home to arrest someone; a search warrant is required for that.</w:t>
      </w:r>
    </w:p>
    <w:p w14:paraId="1D07AF48" w14:textId="77777777" w:rsidR="00272295" w:rsidRDefault="00272295" w:rsidP="00272295">
      <w:pPr>
        <w:pStyle w:val="ListParagraph"/>
        <w:rPr>
          <w:b/>
          <w:bCs/>
        </w:rPr>
      </w:pPr>
    </w:p>
    <w:p w14:paraId="04420167" w14:textId="7C888949" w:rsidR="00813529" w:rsidRPr="00813529" w:rsidRDefault="00813529" w:rsidP="00813529">
      <w:pPr>
        <w:pStyle w:val="ListParagraph"/>
        <w:numPr>
          <w:ilvl w:val="0"/>
          <w:numId w:val="2"/>
        </w:numPr>
        <w:rPr>
          <w:b/>
          <w:bCs/>
        </w:rPr>
      </w:pPr>
      <w:r w:rsidRPr="00813529">
        <w:rPr>
          <w:b/>
          <w:bCs/>
        </w:rPr>
        <w:t>Brigham City v. Stuart, 547 U.S. 398 (2006)</w:t>
      </w:r>
    </w:p>
    <w:p w14:paraId="733C7C72" w14:textId="77777777" w:rsidR="00813529" w:rsidRPr="00813529" w:rsidRDefault="00813529" w:rsidP="00813529">
      <w:pPr>
        <w:pStyle w:val="ListParagraph"/>
      </w:pPr>
      <w:r w:rsidRPr="00813529">
        <w:rPr>
          <w:b/>
          <w:bCs/>
        </w:rPr>
        <w:t>Precedent:</w:t>
      </w:r>
      <w:r w:rsidRPr="00813529">
        <w:t xml:space="preserve"> Police can enter a home without a warrant if they reasonably believe that someone inside is in immediate danger.</w:t>
      </w:r>
    </w:p>
    <w:p w14:paraId="786E1D66" w14:textId="77777777" w:rsidR="00272295" w:rsidRDefault="00272295" w:rsidP="00272295">
      <w:pPr>
        <w:pStyle w:val="ListParagraph"/>
        <w:rPr>
          <w:b/>
          <w:bCs/>
        </w:rPr>
      </w:pPr>
    </w:p>
    <w:p w14:paraId="727F0BCF" w14:textId="4ADC1713" w:rsidR="00813529" w:rsidRPr="00813529" w:rsidRDefault="00813529" w:rsidP="00813529">
      <w:pPr>
        <w:pStyle w:val="ListParagraph"/>
        <w:numPr>
          <w:ilvl w:val="0"/>
          <w:numId w:val="2"/>
        </w:numPr>
        <w:rPr>
          <w:b/>
          <w:bCs/>
        </w:rPr>
      </w:pPr>
      <w:r w:rsidRPr="00813529">
        <w:rPr>
          <w:b/>
          <w:bCs/>
        </w:rPr>
        <w:t>Kentucky v. King, 563 U.S. 452 (2011)</w:t>
      </w:r>
    </w:p>
    <w:p w14:paraId="0EF501B5" w14:textId="77777777" w:rsidR="00813529" w:rsidRPr="00813529" w:rsidRDefault="00813529" w:rsidP="00813529">
      <w:pPr>
        <w:pStyle w:val="ListParagraph"/>
      </w:pPr>
      <w:r w:rsidRPr="00813529">
        <w:rPr>
          <w:b/>
          <w:bCs/>
        </w:rPr>
        <w:t>Precedent:</w:t>
      </w:r>
      <w:r w:rsidRPr="00813529">
        <w:t xml:space="preserve"> Warrantless searches in police-created exigent circumstances are valid </w:t>
      </w:r>
      <w:proofErr w:type="gramStart"/>
      <w:r w:rsidRPr="00813529">
        <w:t>as long as</w:t>
      </w:r>
      <w:proofErr w:type="gramEnd"/>
      <w:r w:rsidRPr="00813529">
        <w:t xml:space="preserve"> the police did not violate or threaten to violate the Fourth Amendment to create the exigency.</w:t>
      </w:r>
    </w:p>
    <w:p w14:paraId="22A11047" w14:textId="77777777" w:rsidR="00272295" w:rsidRDefault="00272295" w:rsidP="00272295">
      <w:pPr>
        <w:pStyle w:val="ListParagraph"/>
        <w:rPr>
          <w:b/>
          <w:bCs/>
        </w:rPr>
      </w:pPr>
    </w:p>
    <w:p w14:paraId="684F39D1" w14:textId="336AC8AB" w:rsidR="00813529" w:rsidRPr="00813529" w:rsidRDefault="00813529" w:rsidP="00813529">
      <w:pPr>
        <w:pStyle w:val="ListParagraph"/>
        <w:numPr>
          <w:ilvl w:val="0"/>
          <w:numId w:val="2"/>
        </w:numPr>
        <w:rPr>
          <w:b/>
          <w:bCs/>
        </w:rPr>
      </w:pPr>
      <w:r w:rsidRPr="00813529">
        <w:rPr>
          <w:b/>
          <w:bCs/>
        </w:rPr>
        <w:t>Arizona v. Gant, 556 U.S. 332 (2009)</w:t>
      </w:r>
    </w:p>
    <w:p w14:paraId="426A088D" w14:textId="77777777" w:rsidR="00813529" w:rsidRPr="00813529" w:rsidRDefault="00813529" w:rsidP="00813529">
      <w:pPr>
        <w:pStyle w:val="ListParagraph"/>
      </w:pPr>
      <w:r w:rsidRPr="00813529">
        <w:rPr>
          <w:b/>
          <w:bCs/>
        </w:rPr>
        <w:t>Precedent:</w:t>
      </w:r>
      <w:r w:rsidRPr="00813529">
        <w:t xml:space="preserve"> Police can search a vehicle after an arrest only if the arrestee </w:t>
      </w:r>
      <w:proofErr w:type="gramStart"/>
      <w:r w:rsidRPr="00813529">
        <w:t>could</w:t>
      </w:r>
      <w:proofErr w:type="gramEnd"/>
      <w:r w:rsidRPr="00813529">
        <w:t xml:space="preserve"> access the vehicle at the time of the search or if the vehicle contains evidence related to the arrest.</w:t>
      </w:r>
    </w:p>
    <w:p w14:paraId="780B36D3" w14:textId="77777777" w:rsidR="00272295" w:rsidRDefault="00272295" w:rsidP="00272295">
      <w:pPr>
        <w:pStyle w:val="ListParagraph"/>
        <w:rPr>
          <w:b/>
          <w:bCs/>
        </w:rPr>
      </w:pPr>
    </w:p>
    <w:p w14:paraId="68047773" w14:textId="77777777" w:rsidR="00272295" w:rsidRDefault="00272295" w:rsidP="00272295">
      <w:pPr>
        <w:pStyle w:val="ListParagraph"/>
        <w:rPr>
          <w:b/>
          <w:bCs/>
        </w:rPr>
      </w:pPr>
    </w:p>
    <w:p w14:paraId="2ED414D2" w14:textId="77777777" w:rsidR="00272295" w:rsidRDefault="00272295" w:rsidP="00272295">
      <w:pPr>
        <w:pStyle w:val="ListParagraph"/>
        <w:rPr>
          <w:b/>
          <w:bCs/>
        </w:rPr>
      </w:pPr>
    </w:p>
    <w:p w14:paraId="4CEAD7D9" w14:textId="77777777" w:rsidR="00272295" w:rsidRDefault="00272295" w:rsidP="00272295">
      <w:pPr>
        <w:pStyle w:val="ListParagraph"/>
        <w:rPr>
          <w:b/>
          <w:bCs/>
        </w:rPr>
      </w:pPr>
    </w:p>
    <w:p w14:paraId="64B0AD49" w14:textId="77777777" w:rsidR="00272295" w:rsidRDefault="00272295" w:rsidP="00272295">
      <w:pPr>
        <w:pStyle w:val="ListParagraph"/>
        <w:rPr>
          <w:b/>
          <w:bCs/>
        </w:rPr>
      </w:pPr>
    </w:p>
    <w:p w14:paraId="78D6EC33" w14:textId="68677998" w:rsidR="00813529" w:rsidRPr="00813529" w:rsidRDefault="00813529" w:rsidP="00813529">
      <w:pPr>
        <w:pStyle w:val="ListParagraph"/>
        <w:numPr>
          <w:ilvl w:val="0"/>
          <w:numId w:val="2"/>
        </w:numPr>
        <w:rPr>
          <w:b/>
          <w:bCs/>
        </w:rPr>
      </w:pPr>
      <w:r w:rsidRPr="00813529">
        <w:rPr>
          <w:b/>
          <w:bCs/>
        </w:rPr>
        <w:lastRenderedPageBreak/>
        <w:t>Lowery v. State, 499 S.W.2d 160 (1970)</w:t>
      </w:r>
    </w:p>
    <w:p w14:paraId="68305EB4" w14:textId="77777777" w:rsidR="00813529" w:rsidRPr="00813529" w:rsidRDefault="00813529" w:rsidP="00813529">
      <w:pPr>
        <w:pStyle w:val="ListParagraph"/>
      </w:pPr>
      <w:r w:rsidRPr="00813529">
        <w:rPr>
          <w:b/>
          <w:bCs/>
        </w:rPr>
        <w:t>Precedent:</w:t>
      </w:r>
      <w:r w:rsidRPr="00813529">
        <w:t xml:space="preserve"> A warrant based on hearsay without corroborating evidence is invalid, and evidence obtained via such a </w:t>
      </w:r>
      <w:proofErr w:type="gramStart"/>
      <w:r w:rsidRPr="00813529">
        <w:t>warrant</w:t>
      </w:r>
      <w:proofErr w:type="gramEnd"/>
      <w:r w:rsidRPr="00813529">
        <w:t xml:space="preserve"> is inadmissible.</w:t>
      </w:r>
    </w:p>
    <w:p w14:paraId="70855339" w14:textId="77777777" w:rsidR="00272295" w:rsidRDefault="00272295" w:rsidP="00272295">
      <w:pPr>
        <w:pStyle w:val="ListParagraph"/>
        <w:rPr>
          <w:b/>
          <w:bCs/>
        </w:rPr>
      </w:pPr>
    </w:p>
    <w:p w14:paraId="22AE1B19" w14:textId="37B9DDF8" w:rsidR="00813529" w:rsidRPr="00272295" w:rsidRDefault="00813529" w:rsidP="00272295">
      <w:pPr>
        <w:pStyle w:val="ListParagraph"/>
        <w:numPr>
          <w:ilvl w:val="0"/>
          <w:numId w:val="2"/>
        </w:numPr>
        <w:rPr>
          <w:b/>
          <w:bCs/>
        </w:rPr>
      </w:pPr>
      <w:r w:rsidRPr="00272295">
        <w:rPr>
          <w:b/>
          <w:bCs/>
        </w:rPr>
        <w:t>Perez v. State, 514 S.W.2d 748 (1974)</w:t>
      </w:r>
    </w:p>
    <w:p w14:paraId="58B6267E" w14:textId="57A63F28" w:rsidR="00272295" w:rsidRDefault="00813529" w:rsidP="00272295">
      <w:pPr>
        <w:pStyle w:val="ListParagraph"/>
      </w:pPr>
      <w:r w:rsidRPr="00813529">
        <w:rPr>
          <w:b/>
          <w:bCs/>
        </w:rPr>
        <w:t>Precedent:</w:t>
      </w:r>
      <w:r w:rsidRPr="00813529">
        <w:t xml:space="preserve"> The emergency exception allows warrantless searches of an unconscious person when their life is at risk.</w:t>
      </w:r>
    </w:p>
    <w:p w14:paraId="4B3F067F" w14:textId="77777777" w:rsidR="00272295" w:rsidRPr="00272295" w:rsidRDefault="00272295" w:rsidP="00272295">
      <w:pPr>
        <w:pStyle w:val="ListParagraph"/>
      </w:pPr>
    </w:p>
    <w:p w14:paraId="4FC5C1C7" w14:textId="45D6B3A2" w:rsidR="00813529" w:rsidRPr="00813529" w:rsidRDefault="00813529" w:rsidP="00813529">
      <w:pPr>
        <w:pStyle w:val="ListParagraph"/>
        <w:numPr>
          <w:ilvl w:val="0"/>
          <w:numId w:val="2"/>
        </w:numPr>
        <w:rPr>
          <w:b/>
          <w:bCs/>
        </w:rPr>
      </w:pPr>
      <w:r w:rsidRPr="00813529">
        <w:rPr>
          <w:b/>
          <w:bCs/>
        </w:rPr>
        <w:t>U.S. v. Ross, 456 U.S. 798 (1982)</w:t>
      </w:r>
    </w:p>
    <w:p w14:paraId="70A7CD66" w14:textId="77777777" w:rsidR="00813529" w:rsidRDefault="00813529" w:rsidP="00813529">
      <w:pPr>
        <w:pStyle w:val="ListParagraph"/>
      </w:pPr>
      <w:r w:rsidRPr="00813529">
        <w:rPr>
          <w:b/>
          <w:bCs/>
        </w:rPr>
        <w:t>Precedent:</w:t>
      </w:r>
      <w:r w:rsidRPr="00813529">
        <w:t xml:space="preserve"> If police have probable cause to </w:t>
      </w:r>
      <w:proofErr w:type="gramStart"/>
      <w:r w:rsidRPr="00813529">
        <w:t>search</w:t>
      </w:r>
      <w:proofErr w:type="gramEnd"/>
      <w:r w:rsidRPr="00813529">
        <w:t xml:space="preserve"> a vehicle, they may search any containers that might conceal the object of the search.</w:t>
      </w:r>
    </w:p>
    <w:p w14:paraId="457E8DDB" w14:textId="77777777" w:rsidR="00272295" w:rsidRPr="00813529" w:rsidRDefault="00272295" w:rsidP="00813529">
      <w:pPr>
        <w:pStyle w:val="ListParagraph"/>
      </w:pPr>
    </w:p>
    <w:p w14:paraId="707FC7A6" w14:textId="63C41F55" w:rsidR="00813529" w:rsidRPr="00813529" w:rsidRDefault="00813529" w:rsidP="00813529">
      <w:pPr>
        <w:pStyle w:val="ListParagraph"/>
        <w:numPr>
          <w:ilvl w:val="0"/>
          <w:numId w:val="2"/>
        </w:numPr>
        <w:rPr>
          <w:b/>
          <w:bCs/>
        </w:rPr>
      </w:pPr>
      <w:r w:rsidRPr="00813529">
        <w:rPr>
          <w:b/>
          <w:bCs/>
        </w:rPr>
        <w:t>New York v. Belton, 453 U.S. 454 (1981)</w:t>
      </w:r>
    </w:p>
    <w:p w14:paraId="711B2669" w14:textId="77777777" w:rsidR="00813529" w:rsidRDefault="00813529" w:rsidP="00813529">
      <w:pPr>
        <w:pStyle w:val="ListParagraph"/>
      </w:pPr>
      <w:r w:rsidRPr="00813529">
        <w:rPr>
          <w:b/>
          <w:bCs/>
        </w:rPr>
        <w:t>Precedent:</w:t>
      </w:r>
      <w:r w:rsidRPr="00813529">
        <w:t xml:space="preserve"> A search incident to an arrest in a vehicle extends to the passenger compartment and containers within it, even if they are closed or locked.</w:t>
      </w:r>
    </w:p>
    <w:p w14:paraId="74EF5EB0" w14:textId="77777777" w:rsidR="00272295" w:rsidRPr="00813529" w:rsidRDefault="00272295" w:rsidP="00813529">
      <w:pPr>
        <w:pStyle w:val="ListParagraph"/>
      </w:pPr>
    </w:p>
    <w:p w14:paraId="399D74C5" w14:textId="0D3600B0" w:rsidR="00813529" w:rsidRPr="00813529" w:rsidRDefault="00813529" w:rsidP="00813529">
      <w:pPr>
        <w:pStyle w:val="ListParagraph"/>
        <w:numPr>
          <w:ilvl w:val="0"/>
          <w:numId w:val="2"/>
        </w:numPr>
        <w:rPr>
          <w:b/>
          <w:bCs/>
        </w:rPr>
      </w:pPr>
      <w:r w:rsidRPr="00813529">
        <w:rPr>
          <w:b/>
          <w:bCs/>
        </w:rPr>
        <w:t>Wyoming v. Houghton, 526 U.S. 295 (1999)</w:t>
      </w:r>
    </w:p>
    <w:p w14:paraId="68956F53" w14:textId="77777777" w:rsidR="00813529" w:rsidRDefault="00813529" w:rsidP="00813529">
      <w:pPr>
        <w:pStyle w:val="ListParagraph"/>
      </w:pPr>
      <w:r w:rsidRPr="00813529">
        <w:rPr>
          <w:b/>
          <w:bCs/>
        </w:rPr>
        <w:t>Precedent:</w:t>
      </w:r>
      <w:r w:rsidRPr="00813529">
        <w:t xml:space="preserve"> Police can </w:t>
      </w:r>
      <w:proofErr w:type="gramStart"/>
      <w:r w:rsidRPr="00813529">
        <w:t>search</w:t>
      </w:r>
      <w:proofErr w:type="gramEnd"/>
      <w:r w:rsidRPr="00813529">
        <w:t xml:space="preserve"> passenger belongings in a vehicle if they have probable cause to search the vehicle itself.</w:t>
      </w:r>
    </w:p>
    <w:p w14:paraId="790E3ACF" w14:textId="77777777" w:rsidR="00272295" w:rsidRPr="00813529" w:rsidRDefault="00272295" w:rsidP="00813529">
      <w:pPr>
        <w:pStyle w:val="ListParagraph"/>
      </w:pPr>
    </w:p>
    <w:p w14:paraId="47DCA11D" w14:textId="5CCBF3B7" w:rsidR="00813529" w:rsidRPr="00813529" w:rsidRDefault="00813529" w:rsidP="00813529">
      <w:pPr>
        <w:pStyle w:val="ListParagraph"/>
        <w:numPr>
          <w:ilvl w:val="0"/>
          <w:numId w:val="2"/>
        </w:numPr>
        <w:rPr>
          <w:b/>
          <w:bCs/>
        </w:rPr>
      </w:pPr>
      <w:r w:rsidRPr="00813529">
        <w:rPr>
          <w:b/>
          <w:bCs/>
        </w:rPr>
        <w:t>Cupp v. Murphy, 421 U.S. 291 (1973)</w:t>
      </w:r>
    </w:p>
    <w:p w14:paraId="761DA6D4" w14:textId="77777777" w:rsidR="00813529" w:rsidRDefault="00813529" w:rsidP="00813529">
      <w:pPr>
        <w:pStyle w:val="ListParagraph"/>
      </w:pPr>
      <w:r w:rsidRPr="00813529">
        <w:rPr>
          <w:b/>
          <w:bCs/>
        </w:rPr>
        <w:t>Precedent:</w:t>
      </w:r>
      <w:r w:rsidRPr="00813529">
        <w:t xml:space="preserve"> Police can seize evidence likely to be destroyed (such as fingernail scrapings) without a warrant if there is probable cause for an arrest.</w:t>
      </w:r>
    </w:p>
    <w:p w14:paraId="529121B9" w14:textId="77777777" w:rsidR="00272295" w:rsidRPr="00813529" w:rsidRDefault="00272295" w:rsidP="00813529">
      <w:pPr>
        <w:pStyle w:val="ListParagraph"/>
      </w:pPr>
    </w:p>
    <w:p w14:paraId="395BAE3C" w14:textId="272C0757" w:rsidR="00813529" w:rsidRPr="00813529" w:rsidRDefault="00813529" w:rsidP="00813529">
      <w:pPr>
        <w:pStyle w:val="ListParagraph"/>
        <w:numPr>
          <w:ilvl w:val="0"/>
          <w:numId w:val="2"/>
        </w:numPr>
        <w:rPr>
          <w:b/>
          <w:bCs/>
        </w:rPr>
      </w:pPr>
      <w:r w:rsidRPr="00813529">
        <w:rPr>
          <w:b/>
          <w:bCs/>
        </w:rPr>
        <w:t>Bond v. United States, 529 U.S. 334 (2000)</w:t>
      </w:r>
    </w:p>
    <w:p w14:paraId="0D3801CD" w14:textId="77777777" w:rsidR="00813529" w:rsidRDefault="00813529" w:rsidP="00813529">
      <w:pPr>
        <w:pStyle w:val="ListParagraph"/>
      </w:pPr>
      <w:r w:rsidRPr="00813529">
        <w:rPr>
          <w:b/>
          <w:bCs/>
        </w:rPr>
        <w:t>Precedent:</w:t>
      </w:r>
      <w:r w:rsidRPr="00813529">
        <w:t xml:space="preserve"> Tactile inspections, such as squeezing luggage on a bus, constitute a search under the Fourth Amendment. Passengers have a reasonable expectation that their bags will not be physically inspected without consent.</w:t>
      </w:r>
    </w:p>
    <w:p w14:paraId="185AFD9C" w14:textId="77777777" w:rsidR="00272295" w:rsidRPr="00813529" w:rsidRDefault="00272295" w:rsidP="00813529">
      <w:pPr>
        <w:pStyle w:val="ListParagraph"/>
      </w:pPr>
    </w:p>
    <w:p w14:paraId="38A9CC52" w14:textId="00D59A1D" w:rsidR="00813529" w:rsidRPr="00813529" w:rsidRDefault="00813529" w:rsidP="00813529">
      <w:pPr>
        <w:pStyle w:val="ListParagraph"/>
        <w:numPr>
          <w:ilvl w:val="0"/>
          <w:numId w:val="2"/>
        </w:numPr>
        <w:rPr>
          <w:b/>
          <w:bCs/>
        </w:rPr>
      </w:pPr>
      <w:r w:rsidRPr="00813529">
        <w:rPr>
          <w:b/>
          <w:bCs/>
        </w:rPr>
        <w:t>U.S. v. Patten, No. 98-8052 (1999)</w:t>
      </w:r>
    </w:p>
    <w:p w14:paraId="65103E21" w14:textId="77777777" w:rsidR="00813529" w:rsidRDefault="00813529" w:rsidP="00813529">
      <w:pPr>
        <w:pStyle w:val="ListParagraph"/>
      </w:pPr>
      <w:r w:rsidRPr="00813529">
        <w:rPr>
          <w:b/>
          <w:bCs/>
        </w:rPr>
        <w:t>Precedent:</w:t>
      </w:r>
      <w:r w:rsidRPr="00813529">
        <w:t xml:space="preserve"> A defendant’s consent to continue an encounter with law enforcement after a traffic stop ends does not constitute a Fourth Amendment seizure, </w:t>
      </w:r>
      <w:proofErr w:type="gramStart"/>
      <w:r w:rsidRPr="00813529">
        <w:t>as long as</w:t>
      </w:r>
      <w:proofErr w:type="gramEnd"/>
      <w:r w:rsidRPr="00813529">
        <w:t xml:space="preserve"> the encounter is consensual.</w:t>
      </w:r>
    </w:p>
    <w:p w14:paraId="635C3596" w14:textId="77777777" w:rsidR="00272295" w:rsidRPr="00813529" w:rsidRDefault="00272295" w:rsidP="00813529">
      <w:pPr>
        <w:pStyle w:val="ListParagraph"/>
      </w:pPr>
    </w:p>
    <w:p w14:paraId="3B2C57BF" w14:textId="06C05F20" w:rsidR="00813529" w:rsidRPr="00813529" w:rsidRDefault="00813529" w:rsidP="00813529">
      <w:pPr>
        <w:pStyle w:val="ListParagraph"/>
        <w:numPr>
          <w:ilvl w:val="0"/>
          <w:numId w:val="2"/>
        </w:numPr>
        <w:rPr>
          <w:b/>
          <w:bCs/>
        </w:rPr>
      </w:pPr>
      <w:r w:rsidRPr="00813529">
        <w:rPr>
          <w:b/>
          <w:bCs/>
        </w:rPr>
        <w:t xml:space="preserve">Ohio v. Robinette, 117 </w:t>
      </w:r>
      <w:proofErr w:type="spellStart"/>
      <w:proofErr w:type="gramStart"/>
      <w:r w:rsidRPr="00813529">
        <w:rPr>
          <w:b/>
          <w:bCs/>
        </w:rPr>
        <w:t>S.Ct</w:t>
      </w:r>
      <w:proofErr w:type="spellEnd"/>
      <w:proofErr w:type="gramEnd"/>
      <w:r w:rsidRPr="00813529">
        <w:rPr>
          <w:b/>
          <w:bCs/>
        </w:rPr>
        <w:t xml:space="preserve"> 417 (1996)</w:t>
      </w:r>
    </w:p>
    <w:p w14:paraId="2F2F1979" w14:textId="77777777" w:rsidR="00813529" w:rsidRPr="00813529" w:rsidRDefault="00813529" w:rsidP="00813529">
      <w:pPr>
        <w:pStyle w:val="ListParagraph"/>
      </w:pPr>
      <w:r w:rsidRPr="00813529">
        <w:rPr>
          <w:b/>
          <w:bCs/>
        </w:rPr>
        <w:t>Precedent:</w:t>
      </w:r>
      <w:r w:rsidRPr="00813529">
        <w:t xml:space="preserve"> The U.S. Supreme Court ruled that police officers are not required to inform motorists they are free to go before seeking consent to search after a traffic stop.</w:t>
      </w:r>
    </w:p>
    <w:p w14:paraId="3CF0FDB1" w14:textId="79A0685C" w:rsidR="00813529" w:rsidRPr="00813529" w:rsidRDefault="00813529" w:rsidP="00813529">
      <w:pPr>
        <w:pStyle w:val="ListParagraph"/>
        <w:numPr>
          <w:ilvl w:val="0"/>
          <w:numId w:val="2"/>
        </w:numPr>
        <w:rPr>
          <w:b/>
          <w:bCs/>
        </w:rPr>
      </w:pPr>
      <w:r w:rsidRPr="00813529">
        <w:rPr>
          <w:b/>
          <w:bCs/>
        </w:rPr>
        <w:lastRenderedPageBreak/>
        <w:t>Pennsylvania v. Labron, 518 U.S. 938 (1996)</w:t>
      </w:r>
    </w:p>
    <w:p w14:paraId="044134C3" w14:textId="77777777" w:rsidR="00813529" w:rsidRDefault="00813529" w:rsidP="00813529">
      <w:pPr>
        <w:pStyle w:val="ListParagraph"/>
      </w:pPr>
      <w:r w:rsidRPr="00813529">
        <w:rPr>
          <w:b/>
          <w:bCs/>
        </w:rPr>
        <w:t>Precedent:</w:t>
      </w:r>
      <w:r w:rsidRPr="00813529">
        <w:t xml:space="preserve"> Police may </w:t>
      </w:r>
      <w:proofErr w:type="gramStart"/>
      <w:r w:rsidRPr="00813529">
        <w:t>search</w:t>
      </w:r>
      <w:proofErr w:type="gramEnd"/>
      <w:r w:rsidRPr="00813529">
        <w:t xml:space="preserve"> an automobile without a warrant </w:t>
      </w:r>
      <w:proofErr w:type="gramStart"/>
      <w:r w:rsidRPr="00813529">
        <w:t>as long as</w:t>
      </w:r>
      <w:proofErr w:type="gramEnd"/>
      <w:r w:rsidRPr="00813529">
        <w:t xml:space="preserve"> there is probable cause, and the vehicle is readily mobile. The Pennsylvania Supreme Court’s additional requirements were invalidated.</w:t>
      </w:r>
    </w:p>
    <w:p w14:paraId="56CB311A" w14:textId="77777777" w:rsidR="00272295" w:rsidRPr="00813529" w:rsidRDefault="00272295" w:rsidP="00813529">
      <w:pPr>
        <w:pStyle w:val="ListParagraph"/>
      </w:pPr>
    </w:p>
    <w:p w14:paraId="5491DEED" w14:textId="68E466AA" w:rsidR="00813529" w:rsidRPr="00813529" w:rsidRDefault="00813529" w:rsidP="00813529">
      <w:pPr>
        <w:pStyle w:val="ListParagraph"/>
        <w:numPr>
          <w:ilvl w:val="0"/>
          <w:numId w:val="2"/>
        </w:numPr>
        <w:rPr>
          <w:b/>
          <w:bCs/>
        </w:rPr>
      </w:pPr>
      <w:r w:rsidRPr="00813529">
        <w:rPr>
          <w:b/>
          <w:bCs/>
        </w:rPr>
        <w:t>California v. Carney, 471 U.S. 386 (1985)</w:t>
      </w:r>
    </w:p>
    <w:p w14:paraId="7B220BE0" w14:textId="77777777" w:rsidR="00813529" w:rsidRDefault="00813529" w:rsidP="00813529">
      <w:pPr>
        <w:pStyle w:val="ListParagraph"/>
      </w:pPr>
      <w:r w:rsidRPr="00813529">
        <w:rPr>
          <w:b/>
          <w:bCs/>
        </w:rPr>
        <w:t>Precedent:</w:t>
      </w:r>
      <w:r w:rsidRPr="00813529">
        <w:t xml:space="preserve"> The motor vehicle exception applies to motor homes when they are being used on the highways or are otherwise capable of being used as vehicles, allowing warrantless searches if there is probable cause.</w:t>
      </w:r>
    </w:p>
    <w:p w14:paraId="25D5CBD4" w14:textId="77777777" w:rsidR="00272295" w:rsidRPr="00813529" w:rsidRDefault="00272295" w:rsidP="00813529">
      <w:pPr>
        <w:pStyle w:val="ListParagraph"/>
      </w:pPr>
    </w:p>
    <w:p w14:paraId="642E9226" w14:textId="568C589A" w:rsidR="00813529" w:rsidRPr="00813529" w:rsidRDefault="00813529" w:rsidP="00813529">
      <w:pPr>
        <w:pStyle w:val="ListParagraph"/>
        <w:numPr>
          <w:ilvl w:val="0"/>
          <w:numId w:val="2"/>
        </w:numPr>
        <w:rPr>
          <w:b/>
          <w:bCs/>
        </w:rPr>
      </w:pPr>
      <w:r w:rsidRPr="00813529">
        <w:rPr>
          <w:b/>
          <w:bCs/>
        </w:rPr>
        <w:t>New York v. Belton, 453 U.S. 454 (1981)</w:t>
      </w:r>
    </w:p>
    <w:p w14:paraId="69A9ACB8" w14:textId="77777777" w:rsidR="00813529" w:rsidRDefault="00813529" w:rsidP="00813529">
      <w:pPr>
        <w:pStyle w:val="ListParagraph"/>
      </w:pPr>
      <w:r w:rsidRPr="00813529">
        <w:rPr>
          <w:b/>
          <w:bCs/>
        </w:rPr>
        <w:t>Precedent:</w:t>
      </w:r>
      <w:r w:rsidRPr="00813529">
        <w:t xml:space="preserve"> Police may search the passenger compartment of a vehicle and any containers inside, incident to a lawful arrest of the vehicle's occupants.</w:t>
      </w:r>
    </w:p>
    <w:p w14:paraId="190B7DD2" w14:textId="77777777" w:rsidR="00272295" w:rsidRPr="00813529" w:rsidRDefault="00272295" w:rsidP="00813529">
      <w:pPr>
        <w:pStyle w:val="ListParagraph"/>
      </w:pPr>
    </w:p>
    <w:p w14:paraId="2D5404C8" w14:textId="155A6CB6" w:rsidR="00813529" w:rsidRPr="00813529" w:rsidRDefault="00813529" w:rsidP="00813529">
      <w:pPr>
        <w:pStyle w:val="ListParagraph"/>
        <w:numPr>
          <w:ilvl w:val="0"/>
          <w:numId w:val="2"/>
        </w:numPr>
        <w:rPr>
          <w:b/>
          <w:bCs/>
        </w:rPr>
      </w:pPr>
      <w:r w:rsidRPr="00813529">
        <w:rPr>
          <w:b/>
          <w:bCs/>
        </w:rPr>
        <w:t>Wyoming v. Houghton, 526 U.S. 295 (1999)</w:t>
      </w:r>
    </w:p>
    <w:p w14:paraId="0B4842C1" w14:textId="77777777" w:rsidR="00813529" w:rsidRDefault="00813529" w:rsidP="00813529">
      <w:pPr>
        <w:pStyle w:val="ListParagraph"/>
      </w:pPr>
      <w:r w:rsidRPr="00813529">
        <w:rPr>
          <w:b/>
          <w:bCs/>
        </w:rPr>
        <w:t>Precedent:</w:t>
      </w:r>
      <w:r w:rsidRPr="00813529">
        <w:t xml:space="preserve"> Officers with probable cause to search a vehicle may also </w:t>
      </w:r>
      <w:proofErr w:type="gramStart"/>
      <w:r w:rsidRPr="00813529">
        <w:t>search</w:t>
      </w:r>
      <w:proofErr w:type="gramEnd"/>
      <w:r w:rsidRPr="00813529">
        <w:t xml:space="preserve"> the personal belongings of passengers in the vehicle that could conceal the object of the search.</w:t>
      </w:r>
    </w:p>
    <w:p w14:paraId="74558D4C" w14:textId="77777777" w:rsidR="00272295" w:rsidRPr="00813529" w:rsidRDefault="00272295" w:rsidP="00813529">
      <w:pPr>
        <w:pStyle w:val="ListParagraph"/>
      </w:pPr>
    </w:p>
    <w:p w14:paraId="6E358E46" w14:textId="48381CE1" w:rsidR="00813529" w:rsidRPr="00813529" w:rsidRDefault="00813529" w:rsidP="00813529">
      <w:pPr>
        <w:pStyle w:val="ListParagraph"/>
        <w:numPr>
          <w:ilvl w:val="0"/>
          <w:numId w:val="2"/>
        </w:numPr>
        <w:rPr>
          <w:b/>
          <w:bCs/>
        </w:rPr>
      </w:pPr>
      <w:r w:rsidRPr="00813529">
        <w:rPr>
          <w:b/>
          <w:bCs/>
        </w:rPr>
        <w:t>U.S. v. Johns, 469 U.S. 478 (1985)</w:t>
      </w:r>
    </w:p>
    <w:p w14:paraId="179FFB0F" w14:textId="77777777" w:rsidR="00813529" w:rsidRDefault="00813529" w:rsidP="00813529">
      <w:pPr>
        <w:pStyle w:val="ListParagraph"/>
      </w:pPr>
      <w:r w:rsidRPr="00813529">
        <w:rPr>
          <w:b/>
          <w:bCs/>
        </w:rPr>
        <w:t>Precedent:</w:t>
      </w:r>
      <w:r w:rsidRPr="00813529">
        <w:t xml:space="preserve"> The vehicle exception allows police to search containers found in a vehicle without a warrant, even if there is a delay between the vehicle’s seizure and the search.</w:t>
      </w:r>
    </w:p>
    <w:p w14:paraId="45AB218D" w14:textId="77777777" w:rsidR="00272295" w:rsidRPr="00813529" w:rsidRDefault="00272295" w:rsidP="00813529">
      <w:pPr>
        <w:pStyle w:val="ListParagraph"/>
      </w:pPr>
    </w:p>
    <w:p w14:paraId="6F6F2A04" w14:textId="79FF85DD" w:rsidR="00813529" w:rsidRPr="00813529" w:rsidRDefault="00813529" w:rsidP="00813529">
      <w:pPr>
        <w:pStyle w:val="ListParagraph"/>
        <w:numPr>
          <w:ilvl w:val="0"/>
          <w:numId w:val="2"/>
        </w:numPr>
        <w:rPr>
          <w:b/>
          <w:bCs/>
        </w:rPr>
      </w:pPr>
      <w:r w:rsidRPr="00813529">
        <w:rPr>
          <w:b/>
          <w:bCs/>
        </w:rPr>
        <w:t>South Dakota v. Opperman, 428 U.S. 364 (1976)</w:t>
      </w:r>
    </w:p>
    <w:p w14:paraId="16ABC4CE" w14:textId="77777777" w:rsidR="00813529" w:rsidRDefault="00813529" w:rsidP="00813529">
      <w:pPr>
        <w:pStyle w:val="ListParagraph"/>
      </w:pPr>
      <w:r w:rsidRPr="00813529">
        <w:rPr>
          <w:b/>
          <w:bCs/>
        </w:rPr>
        <w:t>Precedent:</w:t>
      </w:r>
      <w:r w:rsidRPr="00813529">
        <w:t xml:space="preserve"> Police may </w:t>
      </w:r>
      <w:proofErr w:type="gramStart"/>
      <w:r w:rsidRPr="00813529">
        <w:t>inventory</w:t>
      </w:r>
      <w:proofErr w:type="gramEnd"/>
      <w:r w:rsidRPr="00813529">
        <w:t xml:space="preserve"> the contents of a lawfully impounded vehicle as part of their community caretaking function, without requiring a warrant or probable cause.</w:t>
      </w:r>
    </w:p>
    <w:p w14:paraId="29CE01B9" w14:textId="77777777" w:rsidR="00272295" w:rsidRPr="00813529" w:rsidRDefault="00272295" w:rsidP="00813529">
      <w:pPr>
        <w:pStyle w:val="ListParagraph"/>
      </w:pPr>
    </w:p>
    <w:p w14:paraId="56A9D54C" w14:textId="7402ACD1" w:rsidR="00813529" w:rsidRPr="00813529" w:rsidRDefault="00813529" w:rsidP="00813529">
      <w:pPr>
        <w:pStyle w:val="ListParagraph"/>
        <w:numPr>
          <w:ilvl w:val="0"/>
          <w:numId w:val="2"/>
        </w:numPr>
        <w:rPr>
          <w:b/>
          <w:bCs/>
        </w:rPr>
      </w:pPr>
      <w:r w:rsidRPr="00813529">
        <w:rPr>
          <w:b/>
          <w:bCs/>
        </w:rPr>
        <w:t>Colorado v. Bertine, 479 U.S. 367 (1987)</w:t>
      </w:r>
    </w:p>
    <w:p w14:paraId="4C68A2DE" w14:textId="77777777" w:rsidR="00813529" w:rsidRDefault="00813529" w:rsidP="00813529">
      <w:pPr>
        <w:pStyle w:val="ListParagraph"/>
      </w:pPr>
      <w:r w:rsidRPr="00813529">
        <w:rPr>
          <w:b/>
          <w:bCs/>
        </w:rPr>
        <w:t>Precedent:</w:t>
      </w:r>
      <w:r w:rsidRPr="00813529">
        <w:t xml:space="preserve"> The Fourth Amendment does not prohibit police from conducting inventory searches of lawfully impounded vehicles, including opening closed containers found in the vehicle.</w:t>
      </w:r>
    </w:p>
    <w:p w14:paraId="22206753" w14:textId="77777777" w:rsidR="00272295" w:rsidRPr="00813529" w:rsidRDefault="00272295" w:rsidP="00813529">
      <w:pPr>
        <w:pStyle w:val="ListParagraph"/>
      </w:pPr>
    </w:p>
    <w:p w14:paraId="653D0BD1" w14:textId="389F058F" w:rsidR="00813529" w:rsidRPr="00813529" w:rsidRDefault="00813529" w:rsidP="00813529">
      <w:pPr>
        <w:pStyle w:val="ListParagraph"/>
        <w:numPr>
          <w:ilvl w:val="0"/>
          <w:numId w:val="2"/>
        </w:numPr>
        <w:rPr>
          <w:b/>
          <w:bCs/>
        </w:rPr>
      </w:pPr>
      <w:r w:rsidRPr="00813529">
        <w:rPr>
          <w:b/>
          <w:bCs/>
        </w:rPr>
        <w:t>Florida v. Wells, 495 U.S. 1 (1990)</w:t>
      </w:r>
    </w:p>
    <w:p w14:paraId="71FB43B7" w14:textId="77777777" w:rsidR="00813529" w:rsidRPr="00813529" w:rsidRDefault="00813529" w:rsidP="00813529">
      <w:pPr>
        <w:pStyle w:val="ListParagraph"/>
      </w:pPr>
      <w:r w:rsidRPr="00813529">
        <w:rPr>
          <w:b/>
          <w:bCs/>
        </w:rPr>
        <w:t>Precedent:</w:t>
      </w:r>
      <w:r w:rsidRPr="00813529">
        <w:t xml:space="preserve"> Inventory searches of impounded vehicles must follow standardized police procedures. In this case, the absence of such a policy regarding locked containers made the search invalid.</w:t>
      </w:r>
    </w:p>
    <w:p w14:paraId="4F61A7CF" w14:textId="38A77A12" w:rsidR="00813529" w:rsidRPr="00813529" w:rsidRDefault="00813529" w:rsidP="00813529">
      <w:pPr>
        <w:pStyle w:val="ListParagraph"/>
        <w:numPr>
          <w:ilvl w:val="0"/>
          <w:numId w:val="2"/>
        </w:numPr>
        <w:rPr>
          <w:b/>
          <w:bCs/>
        </w:rPr>
      </w:pPr>
      <w:r w:rsidRPr="00813529">
        <w:rPr>
          <w:b/>
          <w:bCs/>
        </w:rPr>
        <w:lastRenderedPageBreak/>
        <w:t>Aguilar v. Texas, 378 U.S. 108 (1964)</w:t>
      </w:r>
    </w:p>
    <w:p w14:paraId="6AF7BE44" w14:textId="5028A4BB" w:rsidR="00813529" w:rsidRDefault="00813529" w:rsidP="00272295">
      <w:pPr>
        <w:pStyle w:val="ListParagraph"/>
      </w:pPr>
      <w:r w:rsidRPr="00813529">
        <w:rPr>
          <w:b/>
          <w:bCs/>
        </w:rPr>
        <w:t>Precedent:</w:t>
      </w:r>
      <w:r w:rsidRPr="00813529">
        <w:t xml:space="preserve"> The Aguilar-Spinelli test was established, requiring that a magistrate must be informed of reasons why an informant is reliable and must be provided with underlying circumstances that support the information leading to the issuance of a search warrant.</w:t>
      </w:r>
    </w:p>
    <w:p w14:paraId="593C6C07" w14:textId="77777777" w:rsidR="00272295" w:rsidRPr="00272295" w:rsidRDefault="00272295" w:rsidP="00272295">
      <w:pPr>
        <w:pStyle w:val="ListParagraph"/>
      </w:pPr>
    </w:p>
    <w:p w14:paraId="259CF452" w14:textId="051855D8" w:rsidR="00813529" w:rsidRPr="00813529" w:rsidRDefault="00813529" w:rsidP="00813529">
      <w:pPr>
        <w:pStyle w:val="ListParagraph"/>
        <w:numPr>
          <w:ilvl w:val="0"/>
          <w:numId w:val="2"/>
        </w:numPr>
        <w:rPr>
          <w:b/>
          <w:bCs/>
        </w:rPr>
      </w:pPr>
      <w:r w:rsidRPr="00813529">
        <w:rPr>
          <w:b/>
          <w:bCs/>
        </w:rPr>
        <w:t>Mapp v. Ohio, 367 U.S. 643 (1961)</w:t>
      </w:r>
    </w:p>
    <w:p w14:paraId="1155B9C5" w14:textId="77777777" w:rsidR="00813529" w:rsidRDefault="00813529" w:rsidP="00813529">
      <w:pPr>
        <w:pStyle w:val="ListParagraph"/>
      </w:pPr>
      <w:r w:rsidRPr="00813529">
        <w:rPr>
          <w:b/>
          <w:bCs/>
        </w:rPr>
        <w:t>Precedent:</w:t>
      </w:r>
      <w:r w:rsidRPr="00813529">
        <w:t xml:space="preserve"> Established the exclusionary rule, which prohibits evidence obtained through illegal searches and seizures from being used in state courts.</w:t>
      </w:r>
    </w:p>
    <w:p w14:paraId="42CBB4FE" w14:textId="77777777" w:rsidR="00272295" w:rsidRPr="00813529" w:rsidRDefault="00272295" w:rsidP="00813529">
      <w:pPr>
        <w:pStyle w:val="ListParagraph"/>
      </w:pPr>
    </w:p>
    <w:p w14:paraId="20C47516" w14:textId="1298E9FD" w:rsidR="00813529" w:rsidRPr="00813529" w:rsidRDefault="00813529" w:rsidP="00813529">
      <w:pPr>
        <w:pStyle w:val="ListParagraph"/>
        <w:numPr>
          <w:ilvl w:val="0"/>
          <w:numId w:val="2"/>
        </w:numPr>
        <w:rPr>
          <w:b/>
          <w:bCs/>
        </w:rPr>
      </w:pPr>
      <w:r w:rsidRPr="00813529">
        <w:rPr>
          <w:b/>
          <w:bCs/>
        </w:rPr>
        <w:t>Weeks v. U.S., 232 U.S. 383 (1914)</w:t>
      </w:r>
    </w:p>
    <w:p w14:paraId="2BCCA183" w14:textId="77777777" w:rsidR="00813529" w:rsidRDefault="00813529" w:rsidP="00813529">
      <w:pPr>
        <w:pStyle w:val="ListParagraph"/>
      </w:pPr>
      <w:r w:rsidRPr="00813529">
        <w:rPr>
          <w:b/>
          <w:bCs/>
        </w:rPr>
        <w:t>Precedent:</w:t>
      </w:r>
      <w:r w:rsidRPr="00813529">
        <w:t xml:space="preserve"> The federal exclusionary rule was established, preventing evidence obtained through illegal searches and seizures from being used in federal court cases.</w:t>
      </w:r>
    </w:p>
    <w:p w14:paraId="2E3FF347" w14:textId="77777777" w:rsidR="00272295" w:rsidRPr="00813529" w:rsidRDefault="00272295" w:rsidP="00813529">
      <w:pPr>
        <w:pStyle w:val="ListParagraph"/>
      </w:pPr>
    </w:p>
    <w:p w14:paraId="645CF43B" w14:textId="37343B41" w:rsidR="00813529" w:rsidRPr="00813529" w:rsidRDefault="00813529" w:rsidP="00813529">
      <w:pPr>
        <w:pStyle w:val="ListParagraph"/>
        <w:numPr>
          <w:ilvl w:val="0"/>
          <w:numId w:val="2"/>
        </w:numPr>
        <w:rPr>
          <w:b/>
          <w:bCs/>
        </w:rPr>
      </w:pPr>
      <w:r w:rsidRPr="00813529">
        <w:rPr>
          <w:b/>
          <w:bCs/>
        </w:rPr>
        <w:t>Nix v. Williams, 467 U.S. 431 (1984)</w:t>
      </w:r>
    </w:p>
    <w:p w14:paraId="5D126CE0" w14:textId="77777777" w:rsidR="00813529" w:rsidRDefault="00813529" w:rsidP="00813529">
      <w:pPr>
        <w:pStyle w:val="ListParagraph"/>
      </w:pPr>
      <w:r w:rsidRPr="00813529">
        <w:rPr>
          <w:b/>
          <w:bCs/>
        </w:rPr>
        <w:t>Precedent:</w:t>
      </w:r>
      <w:r w:rsidRPr="00813529">
        <w:t xml:space="preserve"> The inevitable discovery doctrine was created, allowing evidence to be admitted if it </w:t>
      </w:r>
      <w:proofErr w:type="gramStart"/>
      <w:r w:rsidRPr="00813529">
        <w:t>would have</w:t>
      </w:r>
      <w:proofErr w:type="gramEnd"/>
      <w:r w:rsidRPr="00813529">
        <w:t xml:space="preserve"> been discovered inevitably, even if obtained illegally.</w:t>
      </w:r>
    </w:p>
    <w:p w14:paraId="3E82BE72" w14:textId="77777777" w:rsidR="00272295" w:rsidRPr="00813529" w:rsidRDefault="00272295" w:rsidP="00813529">
      <w:pPr>
        <w:pStyle w:val="ListParagraph"/>
      </w:pPr>
    </w:p>
    <w:p w14:paraId="26E7A75E" w14:textId="4951AD76" w:rsidR="00813529" w:rsidRPr="00813529" w:rsidRDefault="00813529" w:rsidP="00813529">
      <w:pPr>
        <w:pStyle w:val="ListParagraph"/>
        <w:numPr>
          <w:ilvl w:val="0"/>
          <w:numId w:val="2"/>
        </w:numPr>
        <w:rPr>
          <w:b/>
          <w:bCs/>
        </w:rPr>
      </w:pPr>
      <w:r w:rsidRPr="00813529">
        <w:rPr>
          <w:b/>
          <w:bCs/>
        </w:rPr>
        <w:t>U.S. v. Leon, 468 U.S. 897 (1984)</w:t>
      </w:r>
    </w:p>
    <w:p w14:paraId="200C7A65" w14:textId="77777777" w:rsidR="00813529" w:rsidRDefault="00813529" w:rsidP="00813529">
      <w:pPr>
        <w:pStyle w:val="ListParagraph"/>
      </w:pPr>
      <w:r w:rsidRPr="00813529">
        <w:rPr>
          <w:b/>
          <w:bCs/>
        </w:rPr>
        <w:t>Precedent:</w:t>
      </w:r>
      <w:r w:rsidRPr="00813529">
        <w:t xml:space="preserve"> Established </w:t>
      </w:r>
      <w:proofErr w:type="gramStart"/>
      <w:r w:rsidRPr="00813529">
        <w:t>the good</w:t>
      </w:r>
      <w:proofErr w:type="gramEnd"/>
      <w:r w:rsidRPr="00813529">
        <w:t xml:space="preserve"> faith exception to the exclusionary rule, allowing evidence obtained by officers acting in good faith on a defective search warrant to be used in court.</w:t>
      </w:r>
    </w:p>
    <w:p w14:paraId="4038B47F" w14:textId="77777777" w:rsidR="00272295" w:rsidRPr="00813529" w:rsidRDefault="00272295" w:rsidP="00813529">
      <w:pPr>
        <w:pStyle w:val="ListParagraph"/>
      </w:pPr>
    </w:p>
    <w:p w14:paraId="19C045D7" w14:textId="1D44D9F3" w:rsidR="00813529" w:rsidRPr="00813529" w:rsidRDefault="00813529" w:rsidP="00813529">
      <w:pPr>
        <w:pStyle w:val="ListParagraph"/>
        <w:numPr>
          <w:ilvl w:val="0"/>
          <w:numId w:val="2"/>
        </w:numPr>
        <w:rPr>
          <w:b/>
          <w:bCs/>
        </w:rPr>
      </w:pPr>
      <w:r w:rsidRPr="00813529">
        <w:rPr>
          <w:b/>
          <w:bCs/>
        </w:rPr>
        <w:t>Malley v. Briggs, 475 U.S. 335 (1986)</w:t>
      </w:r>
    </w:p>
    <w:p w14:paraId="00441816" w14:textId="77777777" w:rsidR="00813529" w:rsidRDefault="00813529" w:rsidP="00813529">
      <w:pPr>
        <w:pStyle w:val="ListParagraph"/>
      </w:pPr>
      <w:r w:rsidRPr="00813529">
        <w:rPr>
          <w:b/>
          <w:bCs/>
        </w:rPr>
        <w:t>Precedent:</w:t>
      </w:r>
      <w:r w:rsidRPr="00813529">
        <w:t xml:space="preserve"> Held that police officers applying for a warrant are only entitled to qualified immunity, meaning they can be held liable if their request for a warrant lacks probable cause.</w:t>
      </w:r>
    </w:p>
    <w:p w14:paraId="46F81518" w14:textId="77777777" w:rsidR="00272295" w:rsidRPr="00813529" w:rsidRDefault="00272295" w:rsidP="00813529">
      <w:pPr>
        <w:pStyle w:val="ListParagraph"/>
      </w:pPr>
    </w:p>
    <w:p w14:paraId="4F5CA256" w14:textId="18F099EA" w:rsidR="00813529" w:rsidRPr="00813529" w:rsidRDefault="00813529" w:rsidP="00813529">
      <w:pPr>
        <w:pStyle w:val="ListParagraph"/>
        <w:numPr>
          <w:ilvl w:val="0"/>
          <w:numId w:val="2"/>
        </w:numPr>
        <w:rPr>
          <w:b/>
          <w:bCs/>
        </w:rPr>
      </w:pPr>
      <w:r w:rsidRPr="00813529">
        <w:rPr>
          <w:b/>
          <w:bCs/>
        </w:rPr>
        <w:t>Wong Sun v. United States, 371 U.S. 471 (1963)</w:t>
      </w:r>
    </w:p>
    <w:p w14:paraId="2FCCACBD" w14:textId="77777777" w:rsidR="00813529" w:rsidRDefault="00813529" w:rsidP="00813529">
      <w:pPr>
        <w:pStyle w:val="ListParagraph"/>
      </w:pPr>
      <w:r w:rsidRPr="00813529">
        <w:rPr>
          <w:b/>
          <w:bCs/>
        </w:rPr>
        <w:t>Precedent:</w:t>
      </w:r>
      <w:r w:rsidRPr="00813529">
        <w:t xml:space="preserve"> The "fruit of the poisonous tree" doctrine was established, which excludes evidence derived from illegal police activity, such as unlawful searches and arrests.</w:t>
      </w:r>
    </w:p>
    <w:p w14:paraId="6E3F9060" w14:textId="77777777" w:rsidR="00272295" w:rsidRPr="00813529" w:rsidRDefault="00272295" w:rsidP="00813529">
      <w:pPr>
        <w:pStyle w:val="ListParagraph"/>
      </w:pPr>
    </w:p>
    <w:p w14:paraId="5A0B9B4F" w14:textId="24943F0D" w:rsidR="00813529" w:rsidRPr="00813529" w:rsidRDefault="00813529" w:rsidP="00813529">
      <w:pPr>
        <w:pStyle w:val="ListParagraph"/>
        <w:numPr>
          <w:ilvl w:val="0"/>
          <w:numId w:val="2"/>
        </w:numPr>
        <w:rPr>
          <w:b/>
          <w:bCs/>
        </w:rPr>
      </w:pPr>
      <w:r w:rsidRPr="00813529">
        <w:rPr>
          <w:b/>
          <w:bCs/>
        </w:rPr>
        <w:t>Amores v. State, 816 S.W.2d 407 (1991)</w:t>
      </w:r>
    </w:p>
    <w:p w14:paraId="0A521EF0" w14:textId="77777777" w:rsidR="00813529" w:rsidRDefault="00813529" w:rsidP="00813529">
      <w:pPr>
        <w:pStyle w:val="ListParagraph"/>
      </w:pPr>
      <w:r w:rsidRPr="00813529">
        <w:rPr>
          <w:b/>
          <w:bCs/>
        </w:rPr>
        <w:t>Precedent:</w:t>
      </w:r>
      <w:r w:rsidRPr="00813529">
        <w:t xml:space="preserve"> Established that detention without probable cause is equivalent to an arrest, and searches incidental to such detention are unlawful.</w:t>
      </w:r>
    </w:p>
    <w:p w14:paraId="6F1E3857" w14:textId="77777777" w:rsidR="00272295" w:rsidRPr="00813529" w:rsidRDefault="00272295" w:rsidP="00813529">
      <w:pPr>
        <w:pStyle w:val="ListParagraph"/>
      </w:pPr>
    </w:p>
    <w:p w14:paraId="0B798C9F" w14:textId="7EC6A0DF" w:rsidR="00813529" w:rsidRPr="00813529" w:rsidRDefault="00813529" w:rsidP="00813529">
      <w:pPr>
        <w:pStyle w:val="ListParagraph"/>
        <w:numPr>
          <w:ilvl w:val="0"/>
          <w:numId w:val="2"/>
        </w:numPr>
        <w:rPr>
          <w:b/>
          <w:bCs/>
        </w:rPr>
      </w:pPr>
      <w:r w:rsidRPr="00813529">
        <w:rPr>
          <w:b/>
          <w:bCs/>
        </w:rPr>
        <w:lastRenderedPageBreak/>
        <w:t>United States v. Cortez, 449 U.S. 411 (1981)</w:t>
      </w:r>
    </w:p>
    <w:p w14:paraId="5EF11569" w14:textId="0A0CCF27" w:rsidR="00813529" w:rsidRDefault="00813529" w:rsidP="00272295">
      <w:pPr>
        <w:pStyle w:val="ListParagraph"/>
      </w:pPr>
      <w:r w:rsidRPr="00813529">
        <w:rPr>
          <w:b/>
          <w:bCs/>
        </w:rPr>
        <w:t>Precedent:</w:t>
      </w:r>
      <w:r w:rsidRPr="00813529">
        <w:t xml:space="preserve"> The totality of circumstances must be considered in determining whether reasonable suspicion exists for an investigatory stop, including law enforcement officers’ inferences</w:t>
      </w:r>
      <w:r w:rsidR="00272295">
        <w:t>.</w:t>
      </w:r>
    </w:p>
    <w:p w14:paraId="7D4E3BA0" w14:textId="77777777" w:rsidR="00272295" w:rsidRPr="00272295" w:rsidRDefault="00272295" w:rsidP="00272295">
      <w:pPr>
        <w:pStyle w:val="ListParagraph"/>
      </w:pPr>
    </w:p>
    <w:p w14:paraId="16104E42" w14:textId="6F054999" w:rsidR="00813529" w:rsidRPr="00813529" w:rsidRDefault="00813529" w:rsidP="00813529">
      <w:pPr>
        <w:pStyle w:val="ListParagraph"/>
        <w:numPr>
          <w:ilvl w:val="0"/>
          <w:numId w:val="2"/>
        </w:numPr>
        <w:rPr>
          <w:b/>
          <w:bCs/>
        </w:rPr>
      </w:pPr>
      <w:r w:rsidRPr="00813529">
        <w:rPr>
          <w:b/>
          <w:bCs/>
        </w:rPr>
        <w:t>Brown v. Texas, 443 U.S. 47 (1979)</w:t>
      </w:r>
    </w:p>
    <w:p w14:paraId="0A96F3FA" w14:textId="77777777" w:rsidR="00813529" w:rsidRDefault="00813529" w:rsidP="00813529">
      <w:pPr>
        <w:pStyle w:val="ListParagraph"/>
      </w:pPr>
      <w:r w:rsidRPr="00813529">
        <w:rPr>
          <w:b/>
          <w:bCs/>
        </w:rPr>
        <w:t>Precedent:</w:t>
      </w:r>
      <w:r w:rsidRPr="00813529">
        <w:t xml:space="preserve"> Established that police officers cannot stop individuals without reasonable suspicion based on specific facts, and arbitrary stops are unconstitutional under the Fourth Amendment.</w:t>
      </w:r>
    </w:p>
    <w:p w14:paraId="1C0D1F5F" w14:textId="77777777" w:rsidR="00272295" w:rsidRPr="00813529" w:rsidRDefault="00272295" w:rsidP="00813529">
      <w:pPr>
        <w:pStyle w:val="ListParagraph"/>
      </w:pPr>
    </w:p>
    <w:p w14:paraId="5C1A618F" w14:textId="45BB79CE" w:rsidR="00813529" w:rsidRPr="00813529" w:rsidRDefault="00813529" w:rsidP="00813529">
      <w:pPr>
        <w:pStyle w:val="ListParagraph"/>
        <w:numPr>
          <w:ilvl w:val="0"/>
          <w:numId w:val="2"/>
        </w:numPr>
        <w:rPr>
          <w:b/>
          <w:bCs/>
        </w:rPr>
      </w:pPr>
      <w:r w:rsidRPr="00813529">
        <w:rPr>
          <w:b/>
          <w:bCs/>
        </w:rPr>
        <w:t>Baity v. State, 455 S.W.2d 305 (1970)</w:t>
      </w:r>
    </w:p>
    <w:p w14:paraId="7B1D9D70" w14:textId="77777777" w:rsidR="00813529" w:rsidRDefault="00813529" w:rsidP="00813529">
      <w:pPr>
        <w:pStyle w:val="ListParagraph"/>
      </w:pPr>
      <w:r w:rsidRPr="00813529">
        <w:rPr>
          <w:b/>
          <w:bCs/>
        </w:rPr>
        <w:t>Precedent:</w:t>
      </w:r>
      <w:r w:rsidRPr="00813529">
        <w:t xml:space="preserve"> A detention based on an officer’s reasonable inferences drawn from specific facts can justify further investigation if supported by the officer’s knowledge and experience.</w:t>
      </w:r>
    </w:p>
    <w:p w14:paraId="4BD977BE" w14:textId="77777777" w:rsidR="00272295" w:rsidRPr="00813529" w:rsidRDefault="00272295" w:rsidP="00813529">
      <w:pPr>
        <w:pStyle w:val="ListParagraph"/>
      </w:pPr>
    </w:p>
    <w:p w14:paraId="3A2DC082" w14:textId="36958B46" w:rsidR="00813529" w:rsidRPr="00813529" w:rsidRDefault="00813529" w:rsidP="00813529">
      <w:pPr>
        <w:pStyle w:val="ListParagraph"/>
        <w:numPr>
          <w:ilvl w:val="0"/>
          <w:numId w:val="2"/>
        </w:numPr>
        <w:rPr>
          <w:b/>
          <w:bCs/>
        </w:rPr>
      </w:pPr>
      <w:r w:rsidRPr="00813529">
        <w:rPr>
          <w:b/>
          <w:bCs/>
        </w:rPr>
        <w:t>United States v. Place, 462 U.S. 696 (1983)</w:t>
      </w:r>
    </w:p>
    <w:p w14:paraId="083F0795" w14:textId="77777777" w:rsidR="00813529" w:rsidRDefault="00813529" w:rsidP="00813529">
      <w:pPr>
        <w:pStyle w:val="ListParagraph"/>
      </w:pPr>
      <w:r w:rsidRPr="00813529">
        <w:rPr>
          <w:b/>
          <w:bCs/>
        </w:rPr>
        <w:t>Precedent:</w:t>
      </w:r>
      <w:r w:rsidRPr="00813529">
        <w:t xml:space="preserve"> Prolonged detention of luggage to conduct a canine sniff for narcotics without reasonable suspicion was ruled unconstitutional, violating the Fourth Amendment.</w:t>
      </w:r>
    </w:p>
    <w:p w14:paraId="01CD683E" w14:textId="77777777" w:rsidR="00272295" w:rsidRPr="00813529" w:rsidRDefault="00272295" w:rsidP="00813529">
      <w:pPr>
        <w:pStyle w:val="ListParagraph"/>
      </w:pPr>
    </w:p>
    <w:p w14:paraId="75129620" w14:textId="09FF0050" w:rsidR="00813529" w:rsidRPr="00813529" w:rsidRDefault="00813529" w:rsidP="00813529">
      <w:pPr>
        <w:pStyle w:val="ListParagraph"/>
        <w:numPr>
          <w:ilvl w:val="0"/>
          <w:numId w:val="2"/>
        </w:numPr>
        <w:rPr>
          <w:b/>
          <w:bCs/>
        </w:rPr>
      </w:pPr>
      <w:r w:rsidRPr="00813529">
        <w:rPr>
          <w:b/>
          <w:bCs/>
        </w:rPr>
        <w:t>Meeks v. State, 653 S.W.2d 6 (1983)</w:t>
      </w:r>
    </w:p>
    <w:p w14:paraId="65162FE6" w14:textId="77777777" w:rsidR="00813529" w:rsidRDefault="00813529" w:rsidP="00813529">
      <w:pPr>
        <w:pStyle w:val="ListParagraph"/>
      </w:pPr>
      <w:r w:rsidRPr="00813529">
        <w:rPr>
          <w:b/>
          <w:bCs/>
        </w:rPr>
        <w:t>Precedent:</w:t>
      </w:r>
      <w:r w:rsidRPr="00813529">
        <w:t xml:space="preserve"> Detentions must be supported by reasonable suspicion, and police actions during </w:t>
      </w:r>
      <w:proofErr w:type="gramStart"/>
      <w:r w:rsidRPr="00813529">
        <w:t>a detention</w:t>
      </w:r>
      <w:proofErr w:type="gramEnd"/>
      <w:r w:rsidRPr="00813529">
        <w:t xml:space="preserve"> must diligently seek to confirm or dispel that suspicion.</w:t>
      </w:r>
    </w:p>
    <w:p w14:paraId="5CB8CC17" w14:textId="77777777" w:rsidR="00272295" w:rsidRPr="00813529" w:rsidRDefault="00272295" w:rsidP="00813529">
      <w:pPr>
        <w:pStyle w:val="ListParagraph"/>
      </w:pPr>
    </w:p>
    <w:p w14:paraId="1F388883" w14:textId="5D4CEA62" w:rsidR="00813529" w:rsidRPr="00813529" w:rsidRDefault="00813529" w:rsidP="00813529">
      <w:pPr>
        <w:pStyle w:val="ListParagraph"/>
        <w:numPr>
          <w:ilvl w:val="0"/>
          <w:numId w:val="2"/>
        </w:numPr>
        <w:rPr>
          <w:b/>
          <w:bCs/>
        </w:rPr>
      </w:pPr>
      <w:r w:rsidRPr="00813529">
        <w:rPr>
          <w:b/>
          <w:bCs/>
        </w:rPr>
        <w:t>Reid v. Georgia, 448 U.S. 438 (1980)</w:t>
      </w:r>
    </w:p>
    <w:p w14:paraId="56D9CA07" w14:textId="77777777" w:rsidR="00813529" w:rsidRDefault="00813529" w:rsidP="00813529">
      <w:pPr>
        <w:pStyle w:val="ListParagraph"/>
      </w:pPr>
      <w:r w:rsidRPr="00813529">
        <w:rPr>
          <w:b/>
          <w:bCs/>
        </w:rPr>
        <w:t>Precedent:</w:t>
      </w:r>
      <w:r w:rsidRPr="00813529">
        <w:t xml:space="preserve"> An officer’s reasonable suspicion </w:t>
      </w:r>
      <w:proofErr w:type="gramStart"/>
      <w:r w:rsidRPr="00813529">
        <w:t>for</w:t>
      </w:r>
      <w:proofErr w:type="gramEnd"/>
      <w:r w:rsidRPr="00813529">
        <w:t xml:space="preserve"> a stop must be based on specific, articulable facts. Mere innocent behavior resembling criminal behavior is insufficient for a stop.</w:t>
      </w:r>
    </w:p>
    <w:p w14:paraId="4A697E6E" w14:textId="77777777" w:rsidR="00272295" w:rsidRPr="00813529" w:rsidRDefault="00272295" w:rsidP="00813529">
      <w:pPr>
        <w:pStyle w:val="ListParagraph"/>
      </w:pPr>
    </w:p>
    <w:p w14:paraId="7C285079" w14:textId="6523F928" w:rsidR="00813529" w:rsidRPr="00813529" w:rsidRDefault="00813529" w:rsidP="00813529">
      <w:pPr>
        <w:pStyle w:val="ListParagraph"/>
        <w:numPr>
          <w:ilvl w:val="0"/>
          <w:numId w:val="2"/>
        </w:numPr>
        <w:rPr>
          <w:b/>
          <w:bCs/>
        </w:rPr>
      </w:pPr>
      <w:r w:rsidRPr="00813529">
        <w:rPr>
          <w:b/>
          <w:bCs/>
        </w:rPr>
        <w:t>Pennsylvania v. Mimms, 434 U.S. 106 (1977)</w:t>
      </w:r>
    </w:p>
    <w:p w14:paraId="31A41B4F" w14:textId="77777777" w:rsidR="00813529" w:rsidRDefault="00813529" w:rsidP="00813529">
      <w:pPr>
        <w:pStyle w:val="ListParagraph"/>
      </w:pPr>
      <w:r w:rsidRPr="00813529">
        <w:rPr>
          <w:b/>
          <w:bCs/>
        </w:rPr>
        <w:t>Precedent:</w:t>
      </w:r>
      <w:r w:rsidRPr="00813529">
        <w:t xml:space="preserve"> Police officers may order a driver out of their vehicle during a lawful stop without needing further justification, as it promotes officer safety.</w:t>
      </w:r>
    </w:p>
    <w:p w14:paraId="22FA5A3D" w14:textId="77777777" w:rsidR="00272295" w:rsidRPr="00813529" w:rsidRDefault="00272295" w:rsidP="00813529">
      <w:pPr>
        <w:pStyle w:val="ListParagraph"/>
      </w:pPr>
    </w:p>
    <w:p w14:paraId="7FB86828" w14:textId="0B5FC80D" w:rsidR="00813529" w:rsidRPr="00813529" w:rsidRDefault="00813529" w:rsidP="00813529">
      <w:pPr>
        <w:pStyle w:val="ListParagraph"/>
        <w:numPr>
          <w:ilvl w:val="0"/>
          <w:numId w:val="2"/>
        </w:numPr>
        <w:rPr>
          <w:b/>
          <w:bCs/>
        </w:rPr>
      </w:pPr>
      <w:r w:rsidRPr="00813529">
        <w:rPr>
          <w:b/>
          <w:bCs/>
        </w:rPr>
        <w:t>Maryland v. Wilson, 519 U.S. 408 (1997)</w:t>
      </w:r>
    </w:p>
    <w:p w14:paraId="6080CB27" w14:textId="77777777" w:rsidR="00813529" w:rsidRDefault="00813529" w:rsidP="00813529">
      <w:pPr>
        <w:pStyle w:val="ListParagraph"/>
      </w:pPr>
      <w:r w:rsidRPr="00813529">
        <w:rPr>
          <w:b/>
          <w:bCs/>
        </w:rPr>
        <w:t>Precedent:</w:t>
      </w:r>
      <w:r w:rsidRPr="00813529">
        <w:t xml:space="preserve"> Police may order passengers to exit a vehicle during a lawful traffic stop without reasonable suspicion that they pose a threat to officer safety.</w:t>
      </w:r>
    </w:p>
    <w:p w14:paraId="22CFCF11" w14:textId="77777777" w:rsidR="00272295" w:rsidRDefault="00272295" w:rsidP="00813529">
      <w:pPr>
        <w:pStyle w:val="ListParagraph"/>
      </w:pPr>
    </w:p>
    <w:p w14:paraId="6905944C" w14:textId="77777777" w:rsidR="00272295" w:rsidRPr="00813529" w:rsidRDefault="00272295" w:rsidP="00813529">
      <w:pPr>
        <w:pStyle w:val="ListParagraph"/>
      </w:pPr>
    </w:p>
    <w:p w14:paraId="47FE847D" w14:textId="5BC1FE54" w:rsidR="00813529" w:rsidRPr="00813529" w:rsidRDefault="00813529" w:rsidP="00813529">
      <w:pPr>
        <w:pStyle w:val="ListParagraph"/>
        <w:numPr>
          <w:ilvl w:val="0"/>
          <w:numId w:val="2"/>
        </w:numPr>
        <w:rPr>
          <w:b/>
          <w:bCs/>
        </w:rPr>
      </w:pPr>
      <w:r w:rsidRPr="00813529">
        <w:rPr>
          <w:b/>
          <w:bCs/>
        </w:rPr>
        <w:lastRenderedPageBreak/>
        <w:t>U.S. v. Pruitt, No. 97-6217, 11th Ct. (1999)</w:t>
      </w:r>
    </w:p>
    <w:p w14:paraId="1AB78AF3" w14:textId="16171E13" w:rsidR="00813529" w:rsidRDefault="00813529" w:rsidP="00272295">
      <w:pPr>
        <w:pStyle w:val="ListParagraph"/>
      </w:pPr>
      <w:r w:rsidRPr="00813529">
        <w:rPr>
          <w:b/>
          <w:bCs/>
        </w:rPr>
        <w:t>Precedent:</w:t>
      </w:r>
      <w:r w:rsidRPr="00813529">
        <w:t xml:space="preserve"> Prolonged detention of a vehicle to await a narcotics detection dog without reasonable suspicion violated the Fourth Amendment, despite correct suspicions of illegal activity.</w:t>
      </w:r>
    </w:p>
    <w:p w14:paraId="0AD59967" w14:textId="77777777" w:rsidR="00272295" w:rsidRPr="00272295" w:rsidRDefault="00272295" w:rsidP="00272295">
      <w:pPr>
        <w:pStyle w:val="ListParagraph"/>
      </w:pPr>
    </w:p>
    <w:p w14:paraId="100B4D05" w14:textId="4314657A" w:rsidR="00813529" w:rsidRPr="00813529" w:rsidRDefault="00813529" w:rsidP="00813529">
      <w:pPr>
        <w:pStyle w:val="ListParagraph"/>
        <w:numPr>
          <w:ilvl w:val="0"/>
          <w:numId w:val="2"/>
        </w:numPr>
        <w:rPr>
          <w:b/>
          <w:bCs/>
        </w:rPr>
      </w:pPr>
      <w:r w:rsidRPr="00813529">
        <w:rPr>
          <w:b/>
          <w:bCs/>
        </w:rPr>
        <w:t>Whren v. United States, 517 U.S. 806 (1996)</w:t>
      </w:r>
    </w:p>
    <w:p w14:paraId="0A68F58B" w14:textId="77777777" w:rsidR="00813529" w:rsidRDefault="00813529" w:rsidP="00813529">
      <w:pPr>
        <w:pStyle w:val="ListParagraph"/>
      </w:pPr>
      <w:r w:rsidRPr="00813529">
        <w:rPr>
          <w:b/>
          <w:bCs/>
        </w:rPr>
        <w:t>Precedent:</w:t>
      </w:r>
      <w:r w:rsidRPr="00813529">
        <w:t xml:space="preserve"> Pretextual traffic stops do not violate the Fourth Amendment </w:t>
      </w:r>
      <w:proofErr w:type="gramStart"/>
      <w:r w:rsidRPr="00813529">
        <w:t>as long as</w:t>
      </w:r>
      <w:proofErr w:type="gramEnd"/>
      <w:r w:rsidRPr="00813529">
        <w:t xml:space="preserve"> the officer has probable cause to believe a traffic violation has occurred.</w:t>
      </w:r>
    </w:p>
    <w:p w14:paraId="7E93218A" w14:textId="77777777" w:rsidR="00272295" w:rsidRDefault="00272295" w:rsidP="00813529">
      <w:pPr>
        <w:pStyle w:val="ListParagraph"/>
      </w:pPr>
    </w:p>
    <w:p w14:paraId="53211B45" w14:textId="181E453D" w:rsidR="00813529" w:rsidRPr="00813529" w:rsidRDefault="00813529" w:rsidP="00813529">
      <w:pPr>
        <w:pStyle w:val="ListParagraph"/>
        <w:numPr>
          <w:ilvl w:val="0"/>
          <w:numId w:val="2"/>
        </w:numPr>
      </w:pPr>
      <w:r w:rsidRPr="00813529">
        <w:rPr>
          <w:b/>
          <w:bCs/>
        </w:rPr>
        <w:t>United States v. Sharpe, 470 U.S. 675 (1985)</w:t>
      </w:r>
    </w:p>
    <w:p w14:paraId="381FFF88" w14:textId="77777777" w:rsidR="00813529" w:rsidRDefault="00813529" w:rsidP="00813529">
      <w:pPr>
        <w:pStyle w:val="ListParagraph"/>
      </w:pPr>
      <w:r w:rsidRPr="00813529">
        <w:rPr>
          <w:b/>
          <w:bCs/>
        </w:rPr>
        <w:t>Precedent:</w:t>
      </w:r>
      <w:r w:rsidRPr="00813529">
        <w:t xml:space="preserve"> There is no strict time limit for the length of investigatory stops, and the reasonableness of the stop must consider whether officers diligently pursued their investigation.</w:t>
      </w:r>
    </w:p>
    <w:p w14:paraId="12F5577B" w14:textId="77777777" w:rsidR="00272295" w:rsidRPr="00813529" w:rsidRDefault="00272295" w:rsidP="00813529">
      <w:pPr>
        <w:pStyle w:val="ListParagraph"/>
      </w:pPr>
    </w:p>
    <w:p w14:paraId="3E9AD99A" w14:textId="021F728F" w:rsidR="00813529" w:rsidRPr="00813529" w:rsidRDefault="00813529" w:rsidP="00813529">
      <w:pPr>
        <w:pStyle w:val="ListParagraph"/>
        <w:numPr>
          <w:ilvl w:val="0"/>
          <w:numId w:val="2"/>
        </w:numPr>
        <w:rPr>
          <w:b/>
          <w:bCs/>
        </w:rPr>
      </w:pPr>
      <w:r w:rsidRPr="00813529">
        <w:rPr>
          <w:b/>
          <w:bCs/>
        </w:rPr>
        <w:t>Hernandez v. State, 523 S.W.2d 410 (1975)</w:t>
      </w:r>
    </w:p>
    <w:p w14:paraId="559AB093" w14:textId="77777777" w:rsidR="00813529" w:rsidRDefault="00813529" w:rsidP="00813529">
      <w:pPr>
        <w:pStyle w:val="ListParagraph"/>
      </w:pPr>
      <w:r w:rsidRPr="00813529">
        <w:rPr>
          <w:b/>
          <w:bCs/>
        </w:rPr>
        <w:t>Precedent:</w:t>
      </w:r>
      <w:r w:rsidRPr="00813529">
        <w:t xml:space="preserve"> Established that officers with prior knowledge of a suspect’s criminal activities can use reasonable suspicion to conduct investigatory stops.</w:t>
      </w:r>
    </w:p>
    <w:p w14:paraId="04587C65" w14:textId="77777777" w:rsidR="00272295" w:rsidRPr="00813529" w:rsidRDefault="00272295" w:rsidP="00813529">
      <w:pPr>
        <w:pStyle w:val="ListParagraph"/>
      </w:pPr>
    </w:p>
    <w:p w14:paraId="2A74EA1F" w14:textId="201F3B3E" w:rsidR="00813529" w:rsidRPr="00813529" w:rsidRDefault="00813529" w:rsidP="00813529">
      <w:pPr>
        <w:pStyle w:val="ListParagraph"/>
        <w:numPr>
          <w:ilvl w:val="0"/>
          <w:numId w:val="2"/>
        </w:numPr>
        <w:rPr>
          <w:b/>
          <w:bCs/>
        </w:rPr>
      </w:pPr>
      <w:r w:rsidRPr="00813529">
        <w:rPr>
          <w:b/>
          <w:bCs/>
        </w:rPr>
        <w:t>Delaware v. Prouse, 440 U.S. 648 (1979)</w:t>
      </w:r>
    </w:p>
    <w:p w14:paraId="62465E42" w14:textId="77777777" w:rsidR="00813529" w:rsidRDefault="00813529" w:rsidP="00813529">
      <w:pPr>
        <w:pStyle w:val="ListParagraph"/>
      </w:pPr>
      <w:r w:rsidRPr="00813529">
        <w:rPr>
          <w:b/>
          <w:bCs/>
        </w:rPr>
        <w:t>Precedent:</w:t>
      </w:r>
      <w:r w:rsidRPr="00813529">
        <w:t xml:space="preserve"> Arbitrary </w:t>
      </w:r>
      <w:proofErr w:type="gramStart"/>
      <w:r w:rsidRPr="00813529">
        <w:t>vehicle stops</w:t>
      </w:r>
      <w:proofErr w:type="gramEnd"/>
      <w:r w:rsidRPr="00813529">
        <w:t xml:space="preserve"> to check drivers’ licenses without reasonable suspicion violate the Fourth Amendment, but systematic roadblocks are permissible.</w:t>
      </w:r>
    </w:p>
    <w:p w14:paraId="55A62C8D" w14:textId="77777777" w:rsidR="00272295" w:rsidRPr="00813529" w:rsidRDefault="00272295" w:rsidP="00813529">
      <w:pPr>
        <w:pStyle w:val="ListParagraph"/>
      </w:pPr>
    </w:p>
    <w:p w14:paraId="409AF041" w14:textId="1C595F76" w:rsidR="00813529" w:rsidRPr="00813529" w:rsidRDefault="00813529" w:rsidP="00813529">
      <w:pPr>
        <w:pStyle w:val="ListParagraph"/>
        <w:numPr>
          <w:ilvl w:val="0"/>
          <w:numId w:val="2"/>
        </w:numPr>
        <w:rPr>
          <w:b/>
          <w:bCs/>
        </w:rPr>
      </w:pPr>
      <w:r w:rsidRPr="00813529">
        <w:rPr>
          <w:b/>
          <w:bCs/>
        </w:rPr>
        <w:t>Michigan v. Long, 463 U.S. 1032 (1983)</w:t>
      </w:r>
    </w:p>
    <w:p w14:paraId="12FFC522" w14:textId="77777777" w:rsidR="00813529" w:rsidRDefault="00813529" w:rsidP="00813529">
      <w:pPr>
        <w:pStyle w:val="ListParagraph"/>
      </w:pPr>
      <w:r w:rsidRPr="00813529">
        <w:rPr>
          <w:b/>
          <w:bCs/>
        </w:rPr>
        <w:t>Precedent:</w:t>
      </w:r>
      <w:r w:rsidRPr="00813529">
        <w:t xml:space="preserve"> The protective frisk of a vehicle’s passenger compartment is justified if officers have reasonable suspicion that the suspect is dangerous and may access weapons.</w:t>
      </w:r>
    </w:p>
    <w:p w14:paraId="476F4683" w14:textId="77777777" w:rsidR="00272295" w:rsidRPr="00813529" w:rsidRDefault="00272295" w:rsidP="00813529">
      <w:pPr>
        <w:pStyle w:val="ListParagraph"/>
      </w:pPr>
    </w:p>
    <w:p w14:paraId="793A62D2" w14:textId="55AE1013" w:rsidR="00813529" w:rsidRPr="00813529" w:rsidRDefault="00813529" w:rsidP="00813529">
      <w:pPr>
        <w:pStyle w:val="ListParagraph"/>
        <w:numPr>
          <w:ilvl w:val="0"/>
          <w:numId w:val="2"/>
        </w:numPr>
        <w:rPr>
          <w:b/>
          <w:bCs/>
        </w:rPr>
      </w:pPr>
      <w:r w:rsidRPr="00813529">
        <w:rPr>
          <w:b/>
          <w:bCs/>
        </w:rPr>
        <w:t>Florida v. J.L., 529 U.S. 266 (2000)</w:t>
      </w:r>
    </w:p>
    <w:p w14:paraId="4FEDF857" w14:textId="77777777" w:rsidR="00813529" w:rsidRDefault="00813529" w:rsidP="00813529">
      <w:pPr>
        <w:pStyle w:val="ListParagraph"/>
      </w:pPr>
      <w:r w:rsidRPr="00813529">
        <w:rPr>
          <w:b/>
          <w:bCs/>
        </w:rPr>
        <w:t>Precedent:</w:t>
      </w:r>
      <w:r w:rsidRPr="00813529">
        <w:t xml:space="preserve"> Anonymous tips must be corroborated by law enforcement before they can justify a stop and frisk, as an uncorroborated tip does not meet reasonable suspicion requirements.</w:t>
      </w:r>
    </w:p>
    <w:p w14:paraId="41E413DA" w14:textId="77777777" w:rsidR="00272295" w:rsidRPr="00813529" w:rsidRDefault="00272295" w:rsidP="00813529">
      <w:pPr>
        <w:pStyle w:val="ListParagraph"/>
      </w:pPr>
    </w:p>
    <w:p w14:paraId="775D0ABA" w14:textId="3B8EEAB4" w:rsidR="00813529" w:rsidRPr="00813529" w:rsidRDefault="00813529" w:rsidP="00813529">
      <w:pPr>
        <w:pStyle w:val="ListParagraph"/>
        <w:numPr>
          <w:ilvl w:val="0"/>
          <w:numId w:val="2"/>
        </w:numPr>
        <w:rPr>
          <w:b/>
          <w:bCs/>
        </w:rPr>
      </w:pPr>
      <w:r w:rsidRPr="00813529">
        <w:rPr>
          <w:b/>
          <w:bCs/>
        </w:rPr>
        <w:t>Shimel v. Texas, 640 S.W.2d. 666 (1982)</w:t>
      </w:r>
    </w:p>
    <w:p w14:paraId="47717BB4" w14:textId="77777777" w:rsidR="00813529" w:rsidRDefault="00813529" w:rsidP="00813529">
      <w:pPr>
        <w:pStyle w:val="ListParagraph"/>
      </w:pPr>
      <w:r w:rsidRPr="00813529">
        <w:rPr>
          <w:b/>
          <w:bCs/>
        </w:rPr>
        <w:t>Precedent:</w:t>
      </w:r>
      <w:r w:rsidRPr="00813529">
        <w:t xml:space="preserve"> An unlawful search incident to arrest occurs if there is no probable cause for the arrest or if a search exceeds the bounds of a weapons frisk.</w:t>
      </w:r>
    </w:p>
    <w:p w14:paraId="09DC4B03" w14:textId="77777777" w:rsidR="00272295" w:rsidRDefault="00272295" w:rsidP="00813529">
      <w:pPr>
        <w:pStyle w:val="ListParagraph"/>
      </w:pPr>
    </w:p>
    <w:p w14:paraId="37A70B93" w14:textId="77777777" w:rsidR="00272295" w:rsidRPr="00813529" w:rsidRDefault="00272295" w:rsidP="00813529">
      <w:pPr>
        <w:pStyle w:val="ListParagraph"/>
      </w:pPr>
    </w:p>
    <w:p w14:paraId="67A3853A" w14:textId="7F58F9E9" w:rsidR="00813529" w:rsidRPr="00813529" w:rsidRDefault="00813529" w:rsidP="00813529">
      <w:pPr>
        <w:pStyle w:val="ListParagraph"/>
        <w:numPr>
          <w:ilvl w:val="0"/>
          <w:numId w:val="2"/>
        </w:numPr>
        <w:rPr>
          <w:b/>
          <w:bCs/>
        </w:rPr>
      </w:pPr>
      <w:r w:rsidRPr="00813529">
        <w:rPr>
          <w:b/>
          <w:bCs/>
        </w:rPr>
        <w:lastRenderedPageBreak/>
        <w:t>Minnesota v. Dickerson, 508 U.S. 366 (1993)</w:t>
      </w:r>
    </w:p>
    <w:p w14:paraId="12BF5F92" w14:textId="1E73D8C0" w:rsidR="00813529" w:rsidRDefault="00813529" w:rsidP="00272295">
      <w:pPr>
        <w:pStyle w:val="ListParagraph"/>
      </w:pPr>
      <w:r w:rsidRPr="00813529">
        <w:rPr>
          <w:b/>
          <w:bCs/>
        </w:rPr>
        <w:t>Precedent:</w:t>
      </w:r>
      <w:r w:rsidRPr="00813529">
        <w:t xml:space="preserve"> Police may seize contraband detected during a lawful frisk for weapons if the object's incriminating nature is immediately apparent, but further probing violates the Fourth Amendment.</w:t>
      </w:r>
    </w:p>
    <w:p w14:paraId="3C1E067D" w14:textId="77777777" w:rsidR="00272295" w:rsidRPr="00272295" w:rsidRDefault="00272295" w:rsidP="00272295">
      <w:pPr>
        <w:pStyle w:val="ListParagraph"/>
      </w:pPr>
    </w:p>
    <w:p w14:paraId="7860E7D2" w14:textId="762B4150" w:rsidR="00813529" w:rsidRPr="00813529" w:rsidRDefault="00813529" w:rsidP="00813529">
      <w:pPr>
        <w:pStyle w:val="ListParagraph"/>
        <w:numPr>
          <w:ilvl w:val="0"/>
          <w:numId w:val="2"/>
        </w:numPr>
        <w:rPr>
          <w:b/>
          <w:bCs/>
        </w:rPr>
      </w:pPr>
      <w:r w:rsidRPr="00813529">
        <w:rPr>
          <w:b/>
          <w:bCs/>
        </w:rPr>
        <w:t xml:space="preserve">Michigan v. </w:t>
      </w:r>
      <w:proofErr w:type="spellStart"/>
      <w:r w:rsidRPr="00813529">
        <w:rPr>
          <w:b/>
          <w:bCs/>
        </w:rPr>
        <w:t>Chesternut</w:t>
      </w:r>
      <w:proofErr w:type="spellEnd"/>
      <w:r w:rsidRPr="00813529">
        <w:rPr>
          <w:b/>
          <w:bCs/>
        </w:rPr>
        <w:t>, 486 U.S. 567 (1988)</w:t>
      </w:r>
    </w:p>
    <w:p w14:paraId="38AA66DD" w14:textId="77777777" w:rsidR="00813529" w:rsidRDefault="00813529" w:rsidP="00813529">
      <w:pPr>
        <w:pStyle w:val="ListParagraph"/>
      </w:pPr>
      <w:r w:rsidRPr="00813529">
        <w:rPr>
          <w:b/>
          <w:bCs/>
        </w:rPr>
        <w:t>Precedent:</w:t>
      </w:r>
      <w:r w:rsidRPr="00813529">
        <w:t xml:space="preserve"> A person fleeing from police is not considered seized unless they are physically restrained or submit to authority, and discarded property before being seized is not subject to Fourth Amendment protections.</w:t>
      </w:r>
    </w:p>
    <w:p w14:paraId="7C133269" w14:textId="77777777" w:rsidR="00272295" w:rsidRPr="00813529" w:rsidRDefault="00272295" w:rsidP="00813529">
      <w:pPr>
        <w:pStyle w:val="ListParagraph"/>
      </w:pPr>
    </w:p>
    <w:p w14:paraId="7C39049F" w14:textId="27EBF63F" w:rsidR="00813529" w:rsidRPr="00813529" w:rsidRDefault="00813529" w:rsidP="00813529">
      <w:pPr>
        <w:pStyle w:val="ListParagraph"/>
        <w:numPr>
          <w:ilvl w:val="0"/>
          <w:numId w:val="2"/>
        </w:numPr>
        <w:rPr>
          <w:b/>
          <w:bCs/>
        </w:rPr>
      </w:pPr>
      <w:proofErr w:type="spellStart"/>
      <w:r w:rsidRPr="00813529">
        <w:rPr>
          <w:b/>
          <w:bCs/>
        </w:rPr>
        <w:t>Berkemer</w:t>
      </w:r>
      <w:proofErr w:type="spellEnd"/>
      <w:r w:rsidRPr="00813529">
        <w:rPr>
          <w:b/>
          <w:bCs/>
        </w:rPr>
        <w:t xml:space="preserve"> v. McCarty, 468 U.S. 420 (1984)</w:t>
      </w:r>
    </w:p>
    <w:p w14:paraId="32734DE2" w14:textId="77777777" w:rsidR="00813529" w:rsidRDefault="00813529" w:rsidP="00813529">
      <w:pPr>
        <w:pStyle w:val="ListParagraph"/>
      </w:pPr>
      <w:r w:rsidRPr="00813529">
        <w:rPr>
          <w:b/>
          <w:bCs/>
        </w:rPr>
        <w:t>Precedent:</w:t>
      </w:r>
      <w:r w:rsidRPr="00813529">
        <w:t xml:space="preserve"> Miranda warnings are required for custodial interrogations but not for routine traffic stops, unless the stop evolves into a custodial situation.</w:t>
      </w:r>
    </w:p>
    <w:p w14:paraId="1F713F02" w14:textId="77777777" w:rsidR="00272295" w:rsidRPr="00813529" w:rsidRDefault="00272295" w:rsidP="00813529">
      <w:pPr>
        <w:pStyle w:val="ListParagraph"/>
      </w:pPr>
    </w:p>
    <w:p w14:paraId="0C7FB657" w14:textId="7683698B" w:rsidR="00813529" w:rsidRPr="00813529" w:rsidRDefault="00813529" w:rsidP="00813529">
      <w:pPr>
        <w:pStyle w:val="ListParagraph"/>
        <w:numPr>
          <w:ilvl w:val="0"/>
          <w:numId w:val="2"/>
        </w:numPr>
        <w:rPr>
          <w:b/>
          <w:bCs/>
        </w:rPr>
      </w:pPr>
      <w:r w:rsidRPr="00813529">
        <w:rPr>
          <w:b/>
          <w:bCs/>
        </w:rPr>
        <w:t>Illinois v. Wardlow, 528 U.S. 119 (2000)</w:t>
      </w:r>
    </w:p>
    <w:p w14:paraId="1A82D5EA" w14:textId="77777777" w:rsidR="00813529" w:rsidRDefault="00813529" w:rsidP="00813529">
      <w:pPr>
        <w:pStyle w:val="ListParagraph"/>
      </w:pPr>
      <w:r w:rsidRPr="00813529">
        <w:rPr>
          <w:b/>
          <w:bCs/>
        </w:rPr>
        <w:t>Precedent:</w:t>
      </w:r>
      <w:r w:rsidRPr="00813529">
        <w:t xml:space="preserve"> Unprovoked </w:t>
      </w:r>
      <w:proofErr w:type="gramStart"/>
      <w:r w:rsidRPr="00813529">
        <w:t>flight</w:t>
      </w:r>
      <w:proofErr w:type="gramEnd"/>
      <w:r w:rsidRPr="00813529">
        <w:t xml:space="preserve"> in a high-crime area can create reasonable suspicion for a stop, as it is more than mere refusal to cooperate with law enforcement.</w:t>
      </w:r>
    </w:p>
    <w:p w14:paraId="29F02B6B" w14:textId="77777777" w:rsidR="00272295" w:rsidRPr="00813529" w:rsidRDefault="00272295" w:rsidP="00813529">
      <w:pPr>
        <w:pStyle w:val="ListParagraph"/>
      </w:pPr>
    </w:p>
    <w:p w14:paraId="28552F3A" w14:textId="4E24ACD4" w:rsidR="00813529" w:rsidRPr="00813529" w:rsidRDefault="00813529" w:rsidP="00813529">
      <w:pPr>
        <w:pStyle w:val="ListParagraph"/>
        <w:numPr>
          <w:ilvl w:val="0"/>
          <w:numId w:val="2"/>
        </w:numPr>
        <w:rPr>
          <w:b/>
          <w:bCs/>
        </w:rPr>
      </w:pPr>
      <w:r w:rsidRPr="00813529">
        <w:rPr>
          <w:b/>
          <w:bCs/>
        </w:rPr>
        <w:t>Green v. Texas, 470 S.W.2d 901 (1971)</w:t>
      </w:r>
    </w:p>
    <w:p w14:paraId="670186E7" w14:textId="77777777" w:rsidR="00813529" w:rsidRDefault="00813529" w:rsidP="00813529">
      <w:pPr>
        <w:pStyle w:val="ListParagraph"/>
      </w:pPr>
      <w:r w:rsidRPr="00813529">
        <w:rPr>
          <w:b/>
          <w:bCs/>
        </w:rPr>
        <w:t>Precedent:</w:t>
      </w:r>
      <w:r w:rsidRPr="00813529">
        <w:t xml:space="preserve"> Probable cause for an arrest may be established by information relayed by another officer who has direct knowledge of a crime, even if the arresting officer does not have firsthand knowledge.</w:t>
      </w:r>
    </w:p>
    <w:p w14:paraId="0C080865" w14:textId="77777777" w:rsidR="00272295" w:rsidRPr="00813529" w:rsidRDefault="00272295" w:rsidP="00813529">
      <w:pPr>
        <w:pStyle w:val="ListParagraph"/>
      </w:pPr>
    </w:p>
    <w:p w14:paraId="40A14D05" w14:textId="6A6AA67E" w:rsidR="00813529" w:rsidRPr="00813529" w:rsidRDefault="00813529" w:rsidP="00813529">
      <w:pPr>
        <w:pStyle w:val="ListParagraph"/>
        <w:numPr>
          <w:ilvl w:val="0"/>
          <w:numId w:val="2"/>
        </w:numPr>
        <w:rPr>
          <w:b/>
          <w:bCs/>
        </w:rPr>
      </w:pPr>
      <w:r w:rsidRPr="00813529">
        <w:rPr>
          <w:b/>
          <w:bCs/>
        </w:rPr>
        <w:t>Armstrong v. Texas, 550 S.W.2d 25 (1975)</w:t>
      </w:r>
    </w:p>
    <w:p w14:paraId="07149163" w14:textId="77777777" w:rsidR="00813529" w:rsidRDefault="00813529" w:rsidP="00813529">
      <w:pPr>
        <w:pStyle w:val="ListParagraph"/>
      </w:pPr>
      <w:r w:rsidRPr="00813529">
        <w:rPr>
          <w:b/>
          <w:bCs/>
        </w:rPr>
        <w:t>Precedent:</w:t>
      </w:r>
      <w:r w:rsidRPr="00813529">
        <w:t xml:space="preserve"> Officers acting on vague or incomplete information cannot justify a stop based on mere hunches, as this violates the Fourth Amendment.</w:t>
      </w:r>
    </w:p>
    <w:p w14:paraId="6D4FD31F" w14:textId="77777777" w:rsidR="00272295" w:rsidRPr="00813529" w:rsidRDefault="00272295" w:rsidP="00813529">
      <w:pPr>
        <w:pStyle w:val="ListParagraph"/>
      </w:pPr>
    </w:p>
    <w:p w14:paraId="3B1A2AE7" w14:textId="07456B80" w:rsidR="00813529" w:rsidRPr="00813529" w:rsidRDefault="00813529" w:rsidP="00813529">
      <w:pPr>
        <w:pStyle w:val="ListParagraph"/>
        <w:numPr>
          <w:ilvl w:val="0"/>
          <w:numId w:val="2"/>
        </w:numPr>
        <w:rPr>
          <w:b/>
          <w:bCs/>
        </w:rPr>
      </w:pPr>
      <w:r w:rsidRPr="00813529">
        <w:rPr>
          <w:b/>
          <w:bCs/>
        </w:rPr>
        <w:t>Alabama v. White, 496 U.S. 325 (1990)</w:t>
      </w:r>
    </w:p>
    <w:p w14:paraId="75ECB2A3" w14:textId="77777777" w:rsidR="00813529" w:rsidRDefault="00813529" w:rsidP="00813529">
      <w:pPr>
        <w:pStyle w:val="ListParagraph"/>
      </w:pPr>
      <w:r w:rsidRPr="00813529">
        <w:rPr>
          <w:b/>
          <w:bCs/>
        </w:rPr>
        <w:t>Precedent:</w:t>
      </w:r>
      <w:r w:rsidRPr="00813529">
        <w:t xml:space="preserve"> An anonymous tip can justify a stop if it is corroborated by independent police work that lends reliability to the information provided.</w:t>
      </w:r>
    </w:p>
    <w:p w14:paraId="3999BB1B" w14:textId="77777777" w:rsidR="00272295" w:rsidRPr="00813529" w:rsidRDefault="00272295" w:rsidP="00813529">
      <w:pPr>
        <w:pStyle w:val="ListParagraph"/>
      </w:pPr>
    </w:p>
    <w:p w14:paraId="148E0570" w14:textId="470B7B10" w:rsidR="00813529" w:rsidRPr="00813529" w:rsidRDefault="00813529" w:rsidP="00813529">
      <w:pPr>
        <w:pStyle w:val="ListParagraph"/>
        <w:numPr>
          <w:ilvl w:val="0"/>
          <w:numId w:val="2"/>
        </w:numPr>
        <w:rPr>
          <w:b/>
          <w:bCs/>
        </w:rPr>
      </w:pPr>
      <w:r w:rsidRPr="00813529">
        <w:rPr>
          <w:b/>
          <w:bCs/>
        </w:rPr>
        <w:t>Lowery v. State, 499 S.W.2d 160 (1970)</w:t>
      </w:r>
    </w:p>
    <w:p w14:paraId="277354A8" w14:textId="77777777" w:rsidR="00813529" w:rsidRDefault="00813529" w:rsidP="00813529">
      <w:pPr>
        <w:pStyle w:val="ListParagraph"/>
      </w:pPr>
      <w:r w:rsidRPr="00813529">
        <w:rPr>
          <w:b/>
          <w:bCs/>
        </w:rPr>
        <w:t>Precedent:</w:t>
      </w:r>
      <w:r w:rsidRPr="00813529">
        <w:t xml:space="preserve"> Hearsay alone cannot justify a search or arrest warrant. Corroborating evidence must be provided to establish probable cause for the warrant.</w:t>
      </w:r>
    </w:p>
    <w:p w14:paraId="2ED623D1" w14:textId="77777777" w:rsidR="00272295" w:rsidRDefault="00272295" w:rsidP="00813529">
      <w:pPr>
        <w:pStyle w:val="ListParagraph"/>
      </w:pPr>
    </w:p>
    <w:p w14:paraId="00968D27" w14:textId="77777777" w:rsidR="00272295" w:rsidRDefault="00272295" w:rsidP="00813529">
      <w:pPr>
        <w:pStyle w:val="ListParagraph"/>
      </w:pPr>
    </w:p>
    <w:p w14:paraId="7DAFC3B1" w14:textId="77777777" w:rsidR="00272295" w:rsidRDefault="00272295" w:rsidP="00813529">
      <w:pPr>
        <w:pStyle w:val="ListParagraph"/>
      </w:pPr>
    </w:p>
    <w:p w14:paraId="46D3CE70" w14:textId="77777777" w:rsidR="00272295" w:rsidRPr="00813529" w:rsidRDefault="00272295" w:rsidP="00813529">
      <w:pPr>
        <w:pStyle w:val="ListParagraph"/>
      </w:pPr>
    </w:p>
    <w:p w14:paraId="0E838900" w14:textId="23D4EB22" w:rsidR="00813529" w:rsidRPr="00813529" w:rsidRDefault="00813529" w:rsidP="00813529">
      <w:pPr>
        <w:pStyle w:val="ListParagraph"/>
        <w:numPr>
          <w:ilvl w:val="0"/>
          <w:numId w:val="2"/>
        </w:numPr>
        <w:rPr>
          <w:b/>
          <w:bCs/>
        </w:rPr>
      </w:pPr>
      <w:r w:rsidRPr="00813529">
        <w:rPr>
          <w:b/>
          <w:bCs/>
        </w:rPr>
        <w:lastRenderedPageBreak/>
        <w:t>Perez v. State, 514 S.W.2d 748 (1974)</w:t>
      </w:r>
    </w:p>
    <w:p w14:paraId="672B81EA" w14:textId="77777777" w:rsidR="00813529" w:rsidRDefault="00813529" w:rsidP="00813529">
      <w:pPr>
        <w:pStyle w:val="ListParagraph"/>
      </w:pPr>
      <w:r w:rsidRPr="00813529">
        <w:rPr>
          <w:b/>
          <w:bCs/>
        </w:rPr>
        <w:t>Precedent:</w:t>
      </w:r>
      <w:r w:rsidRPr="00813529">
        <w:t xml:space="preserve"> The emergency exception allows police to conduct searches on unconscious individuals when necessary to preserve life, overriding the usual warrant requirements.</w:t>
      </w:r>
    </w:p>
    <w:p w14:paraId="07708EEF" w14:textId="77777777" w:rsidR="00272295" w:rsidRPr="00813529" w:rsidRDefault="00272295" w:rsidP="00813529">
      <w:pPr>
        <w:pStyle w:val="ListParagraph"/>
      </w:pPr>
    </w:p>
    <w:p w14:paraId="0B23E1B3" w14:textId="72A3CD52" w:rsidR="00813529" w:rsidRPr="00813529" w:rsidRDefault="00813529" w:rsidP="00813529">
      <w:pPr>
        <w:pStyle w:val="ListParagraph"/>
        <w:numPr>
          <w:ilvl w:val="0"/>
          <w:numId w:val="2"/>
        </w:numPr>
        <w:rPr>
          <w:b/>
          <w:bCs/>
        </w:rPr>
      </w:pPr>
      <w:r w:rsidRPr="00813529">
        <w:rPr>
          <w:b/>
          <w:bCs/>
        </w:rPr>
        <w:t>Ybarra v. Illinois, 444 U.S. 85 (1979)</w:t>
      </w:r>
    </w:p>
    <w:p w14:paraId="2D71AC6C" w14:textId="52C22766" w:rsidR="00813529" w:rsidRDefault="00813529" w:rsidP="00813529">
      <w:pPr>
        <w:pStyle w:val="ListParagraph"/>
      </w:pPr>
      <w:r w:rsidRPr="00813529">
        <w:rPr>
          <w:b/>
          <w:bCs/>
        </w:rPr>
        <w:t>Precedent:</w:t>
      </w:r>
      <w:r w:rsidRPr="00813529">
        <w:t xml:space="preserve"> A person's mere presence in a place being searched does not justify a search of their person without individualized suspicion of wrongdoing.</w:t>
      </w:r>
    </w:p>
    <w:sectPr w:rsidR="00813529">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EDC097" w14:textId="77777777" w:rsidR="00205E62" w:rsidRDefault="00205E62" w:rsidP="00887179">
      <w:pPr>
        <w:spacing w:after="0" w:line="240" w:lineRule="auto"/>
      </w:pPr>
      <w:r>
        <w:separator/>
      </w:r>
    </w:p>
  </w:endnote>
  <w:endnote w:type="continuationSeparator" w:id="0">
    <w:p w14:paraId="33DDA3FF" w14:textId="77777777" w:rsidR="00205E62" w:rsidRDefault="00205E62" w:rsidP="00887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1788380"/>
      <w:docPartObj>
        <w:docPartGallery w:val="Page Numbers (Bottom of Page)"/>
        <w:docPartUnique/>
      </w:docPartObj>
    </w:sdtPr>
    <w:sdtEndPr>
      <w:rPr>
        <w:noProof/>
      </w:rPr>
    </w:sdtEndPr>
    <w:sdtContent>
      <w:p w14:paraId="181CAD86" w14:textId="1F0F5929" w:rsidR="00887179" w:rsidRDefault="0088717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A878163" w14:textId="77777777" w:rsidR="00887179" w:rsidRDefault="008871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A4A760" w14:textId="77777777" w:rsidR="00205E62" w:rsidRDefault="00205E62" w:rsidP="00887179">
      <w:pPr>
        <w:spacing w:after="0" w:line="240" w:lineRule="auto"/>
      </w:pPr>
      <w:r>
        <w:separator/>
      </w:r>
    </w:p>
  </w:footnote>
  <w:footnote w:type="continuationSeparator" w:id="0">
    <w:p w14:paraId="0E56CDE2" w14:textId="77777777" w:rsidR="00205E62" w:rsidRDefault="00205E62" w:rsidP="008871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4B2FF7"/>
    <w:multiLevelType w:val="hybridMultilevel"/>
    <w:tmpl w:val="8D487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7C50179"/>
    <w:multiLevelType w:val="hybridMultilevel"/>
    <w:tmpl w:val="671867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9374483">
    <w:abstractNumId w:val="1"/>
  </w:num>
  <w:num w:numId="2" w16cid:durableId="540089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29"/>
    <w:rsid w:val="00205E62"/>
    <w:rsid w:val="00272295"/>
    <w:rsid w:val="00813529"/>
    <w:rsid w:val="00887179"/>
    <w:rsid w:val="008B6477"/>
    <w:rsid w:val="00CC4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F2291"/>
  <w15:chartTrackingRefBased/>
  <w15:docId w15:val="{882D8E90-B8FA-4106-B20C-394BCB4E6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35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135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352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352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352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352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352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352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352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352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1352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352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35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35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35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35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35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3529"/>
    <w:rPr>
      <w:rFonts w:eastAsiaTheme="majorEastAsia" w:cstheme="majorBidi"/>
      <w:color w:val="272727" w:themeColor="text1" w:themeTint="D8"/>
    </w:rPr>
  </w:style>
  <w:style w:type="paragraph" w:styleId="Title">
    <w:name w:val="Title"/>
    <w:basedOn w:val="Normal"/>
    <w:next w:val="Normal"/>
    <w:link w:val="TitleChar"/>
    <w:uiPriority w:val="10"/>
    <w:qFormat/>
    <w:rsid w:val="008135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35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352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35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3529"/>
    <w:pPr>
      <w:spacing w:before="160"/>
      <w:jc w:val="center"/>
    </w:pPr>
    <w:rPr>
      <w:i/>
      <w:iCs/>
      <w:color w:val="404040" w:themeColor="text1" w:themeTint="BF"/>
    </w:rPr>
  </w:style>
  <w:style w:type="character" w:customStyle="1" w:styleId="QuoteChar">
    <w:name w:val="Quote Char"/>
    <w:basedOn w:val="DefaultParagraphFont"/>
    <w:link w:val="Quote"/>
    <w:uiPriority w:val="29"/>
    <w:rsid w:val="00813529"/>
    <w:rPr>
      <w:i/>
      <w:iCs/>
      <w:color w:val="404040" w:themeColor="text1" w:themeTint="BF"/>
    </w:rPr>
  </w:style>
  <w:style w:type="paragraph" w:styleId="ListParagraph">
    <w:name w:val="List Paragraph"/>
    <w:basedOn w:val="Normal"/>
    <w:uiPriority w:val="34"/>
    <w:qFormat/>
    <w:rsid w:val="00813529"/>
    <w:pPr>
      <w:ind w:left="720"/>
      <w:contextualSpacing/>
    </w:pPr>
  </w:style>
  <w:style w:type="character" w:styleId="IntenseEmphasis">
    <w:name w:val="Intense Emphasis"/>
    <w:basedOn w:val="DefaultParagraphFont"/>
    <w:uiPriority w:val="21"/>
    <w:qFormat/>
    <w:rsid w:val="00813529"/>
    <w:rPr>
      <w:i/>
      <w:iCs/>
      <w:color w:val="0F4761" w:themeColor="accent1" w:themeShade="BF"/>
    </w:rPr>
  </w:style>
  <w:style w:type="paragraph" w:styleId="IntenseQuote">
    <w:name w:val="Intense Quote"/>
    <w:basedOn w:val="Normal"/>
    <w:next w:val="Normal"/>
    <w:link w:val="IntenseQuoteChar"/>
    <w:uiPriority w:val="30"/>
    <w:qFormat/>
    <w:rsid w:val="008135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3529"/>
    <w:rPr>
      <w:i/>
      <w:iCs/>
      <w:color w:val="0F4761" w:themeColor="accent1" w:themeShade="BF"/>
    </w:rPr>
  </w:style>
  <w:style w:type="character" w:styleId="IntenseReference">
    <w:name w:val="Intense Reference"/>
    <w:basedOn w:val="DefaultParagraphFont"/>
    <w:uiPriority w:val="32"/>
    <w:qFormat/>
    <w:rsid w:val="00813529"/>
    <w:rPr>
      <w:b/>
      <w:bCs/>
      <w:smallCaps/>
      <w:color w:val="0F4761" w:themeColor="accent1" w:themeShade="BF"/>
      <w:spacing w:val="5"/>
    </w:rPr>
  </w:style>
  <w:style w:type="paragraph" w:styleId="Header">
    <w:name w:val="header"/>
    <w:basedOn w:val="Normal"/>
    <w:link w:val="HeaderChar"/>
    <w:uiPriority w:val="99"/>
    <w:unhideWhenUsed/>
    <w:rsid w:val="008871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7179"/>
  </w:style>
  <w:style w:type="paragraph" w:styleId="Footer">
    <w:name w:val="footer"/>
    <w:basedOn w:val="Normal"/>
    <w:link w:val="FooterChar"/>
    <w:uiPriority w:val="99"/>
    <w:unhideWhenUsed/>
    <w:rsid w:val="008871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7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301974">
      <w:bodyDiv w:val="1"/>
      <w:marLeft w:val="0"/>
      <w:marRight w:val="0"/>
      <w:marTop w:val="0"/>
      <w:marBottom w:val="0"/>
      <w:divBdr>
        <w:top w:val="none" w:sz="0" w:space="0" w:color="auto"/>
        <w:left w:val="none" w:sz="0" w:space="0" w:color="auto"/>
        <w:bottom w:val="none" w:sz="0" w:space="0" w:color="auto"/>
        <w:right w:val="none" w:sz="0" w:space="0" w:color="auto"/>
      </w:divBdr>
    </w:div>
    <w:div w:id="298149489">
      <w:bodyDiv w:val="1"/>
      <w:marLeft w:val="0"/>
      <w:marRight w:val="0"/>
      <w:marTop w:val="0"/>
      <w:marBottom w:val="0"/>
      <w:divBdr>
        <w:top w:val="none" w:sz="0" w:space="0" w:color="auto"/>
        <w:left w:val="none" w:sz="0" w:space="0" w:color="auto"/>
        <w:bottom w:val="none" w:sz="0" w:space="0" w:color="auto"/>
        <w:right w:val="none" w:sz="0" w:space="0" w:color="auto"/>
      </w:divBdr>
    </w:div>
    <w:div w:id="749540769">
      <w:bodyDiv w:val="1"/>
      <w:marLeft w:val="0"/>
      <w:marRight w:val="0"/>
      <w:marTop w:val="0"/>
      <w:marBottom w:val="0"/>
      <w:divBdr>
        <w:top w:val="none" w:sz="0" w:space="0" w:color="auto"/>
        <w:left w:val="none" w:sz="0" w:space="0" w:color="auto"/>
        <w:bottom w:val="none" w:sz="0" w:space="0" w:color="auto"/>
        <w:right w:val="none" w:sz="0" w:space="0" w:color="auto"/>
      </w:divBdr>
    </w:div>
    <w:div w:id="896474034">
      <w:bodyDiv w:val="1"/>
      <w:marLeft w:val="0"/>
      <w:marRight w:val="0"/>
      <w:marTop w:val="0"/>
      <w:marBottom w:val="0"/>
      <w:divBdr>
        <w:top w:val="none" w:sz="0" w:space="0" w:color="auto"/>
        <w:left w:val="none" w:sz="0" w:space="0" w:color="auto"/>
        <w:bottom w:val="none" w:sz="0" w:space="0" w:color="auto"/>
        <w:right w:val="none" w:sz="0" w:space="0" w:color="auto"/>
      </w:divBdr>
    </w:div>
    <w:div w:id="1309087308">
      <w:bodyDiv w:val="1"/>
      <w:marLeft w:val="0"/>
      <w:marRight w:val="0"/>
      <w:marTop w:val="0"/>
      <w:marBottom w:val="0"/>
      <w:divBdr>
        <w:top w:val="none" w:sz="0" w:space="0" w:color="auto"/>
        <w:left w:val="none" w:sz="0" w:space="0" w:color="auto"/>
        <w:bottom w:val="none" w:sz="0" w:space="0" w:color="auto"/>
        <w:right w:val="none" w:sz="0" w:space="0" w:color="auto"/>
      </w:divBdr>
    </w:div>
    <w:div w:id="210915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2088</Words>
  <Characters>11908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 Bauer</dc:creator>
  <cp:keywords/>
  <dc:description/>
  <cp:lastModifiedBy>Walt Bauer</cp:lastModifiedBy>
  <cp:revision>2</cp:revision>
  <dcterms:created xsi:type="dcterms:W3CDTF">2024-10-01T19:07:00Z</dcterms:created>
  <dcterms:modified xsi:type="dcterms:W3CDTF">2025-01-01T22:04:00Z</dcterms:modified>
</cp:coreProperties>
</file>